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仿宋_GB2312" w:eastAsia="仿宋_GB2312"/>
          <w:color w:val="000000"/>
          <w:kern w:val="0"/>
          <w:sz w:val="32"/>
          <w:szCs w:val="32"/>
        </w:rPr>
      </w:pPr>
    </w:p>
    <w:p>
      <w:pPr>
        <w:spacing w:line="360" w:lineRule="auto"/>
        <w:jc w:val="right"/>
        <w:rPr>
          <w:rFonts w:hint="eastAsia" w:ascii="仿宋_GB2312" w:eastAsia="仿宋_GB2312"/>
          <w:color w:val="000000"/>
          <w:kern w:val="0"/>
          <w:sz w:val="32"/>
          <w:szCs w:val="32"/>
        </w:rPr>
      </w:pPr>
    </w:p>
    <w:p>
      <w:pPr>
        <w:spacing w:line="360" w:lineRule="auto"/>
        <w:jc w:val="right"/>
        <w:rPr>
          <w:rFonts w:ascii="仿宋_GB2312" w:eastAsia="仿宋_GB2312"/>
          <w:color w:val="000000"/>
          <w:kern w:val="0"/>
          <w:sz w:val="32"/>
          <w:szCs w:val="32"/>
        </w:rPr>
      </w:pPr>
      <w:r>
        <w:rPr>
          <w:rFonts w:hint="eastAsia" w:ascii="仿宋_GB2312" w:eastAsia="仿宋_GB2312"/>
          <w:color w:val="000000"/>
          <w:kern w:val="0"/>
          <w:sz w:val="32"/>
          <w:szCs w:val="32"/>
        </w:rPr>
        <w:t>大体协[201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val="en-US" w:eastAsia="zh-CN"/>
        </w:rPr>
        <w:t>384</w:t>
      </w:r>
      <w:r>
        <w:rPr>
          <w:rFonts w:hint="eastAsia" w:ascii="仿宋_GB2312" w:eastAsia="仿宋_GB2312"/>
          <w:color w:val="000000"/>
          <w:kern w:val="0"/>
          <w:sz w:val="32"/>
          <w:szCs w:val="32"/>
        </w:rPr>
        <w:t>号</w:t>
      </w:r>
    </w:p>
    <w:p>
      <w:pPr>
        <w:tabs>
          <w:tab w:val="left" w:pos="3960"/>
        </w:tabs>
        <w:jc w:val="center"/>
        <w:rPr>
          <w:rFonts w:hint="eastAsia" w:ascii="黑体" w:hAnsi="黑体" w:eastAsia="黑体"/>
          <w:sz w:val="36"/>
          <w:szCs w:val="36"/>
          <w:lang w:val="en-US" w:eastAsia="zh-CN"/>
        </w:rPr>
      </w:pPr>
      <w:r>
        <w:rPr>
          <w:rFonts w:hint="eastAsia" w:ascii="黑体" w:hAnsi="黑体" w:eastAsia="黑体"/>
          <w:sz w:val="36"/>
          <w:szCs w:val="36"/>
        </w:rPr>
        <w:t>关于开展</w:t>
      </w:r>
      <w:r>
        <w:rPr>
          <w:rFonts w:hint="eastAsia" w:ascii="黑体" w:hAnsi="黑体" w:eastAsia="黑体"/>
          <w:sz w:val="36"/>
          <w:szCs w:val="36"/>
          <w:lang w:val="en-US" w:eastAsia="zh-CN"/>
        </w:rPr>
        <w:t>中华人民共和国第十四届学生运动会</w:t>
      </w:r>
    </w:p>
    <w:p>
      <w:pPr>
        <w:tabs>
          <w:tab w:val="left" w:pos="3960"/>
        </w:tabs>
        <w:jc w:val="center"/>
        <w:rPr>
          <w:rFonts w:ascii="仿宋_GB2312" w:hAnsi="宋体" w:eastAsia="仿宋_GB2312"/>
          <w:b/>
          <w:sz w:val="36"/>
          <w:szCs w:val="36"/>
        </w:rPr>
      </w:pPr>
      <w:r>
        <w:rPr>
          <w:rFonts w:hint="eastAsia" w:ascii="黑体" w:hAnsi="黑体" w:eastAsia="黑体"/>
          <w:sz w:val="36"/>
          <w:szCs w:val="36"/>
        </w:rPr>
        <w:t>篮球</w:t>
      </w:r>
      <w:r>
        <w:rPr>
          <w:rFonts w:hint="eastAsia" w:ascii="黑体" w:hAnsi="黑体" w:eastAsia="黑体"/>
          <w:sz w:val="36"/>
          <w:szCs w:val="36"/>
          <w:lang w:val="en-US" w:eastAsia="zh-CN"/>
        </w:rPr>
        <w:t>项目预赛</w:t>
      </w:r>
      <w:r>
        <w:rPr>
          <w:rFonts w:hint="eastAsia" w:ascii="黑体" w:hAnsi="黑体" w:eastAsia="黑体"/>
          <w:sz w:val="36"/>
          <w:szCs w:val="36"/>
        </w:rPr>
        <w:t>申办工作的通知</w:t>
      </w:r>
    </w:p>
    <w:p>
      <w:pPr>
        <w:spacing w:line="500" w:lineRule="exact"/>
        <w:rPr>
          <w:rFonts w:hint="eastAsia" w:ascii="仿宋_GB2312" w:eastAsia="仿宋_GB2312"/>
          <w:color w:val="000000"/>
          <w:kern w:val="0"/>
          <w:sz w:val="32"/>
          <w:szCs w:val="32"/>
        </w:rPr>
      </w:pPr>
    </w:p>
    <w:p>
      <w:pPr>
        <w:spacing w:line="360" w:lineRule="auto"/>
        <w:rPr>
          <w:rFonts w:ascii="仿宋_GB2312" w:eastAsia="仿宋_GB2312"/>
          <w:color w:val="000000"/>
          <w:kern w:val="0"/>
          <w:sz w:val="32"/>
          <w:szCs w:val="32"/>
        </w:rPr>
      </w:pPr>
      <w:r>
        <w:rPr>
          <w:rFonts w:hint="eastAsia" w:ascii="仿宋_GB2312" w:eastAsia="仿宋_GB2312"/>
          <w:color w:val="000000"/>
          <w:kern w:val="0"/>
          <w:sz w:val="32"/>
          <w:szCs w:val="32"/>
        </w:rPr>
        <w:t>各省、自治区（直辖市）教育厅（教委）</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学生体育协会：</w:t>
      </w:r>
    </w:p>
    <w:p>
      <w:pPr>
        <w:tabs>
          <w:tab w:val="left" w:pos="3960"/>
        </w:tabs>
        <w:spacing w:line="360" w:lineRule="auto"/>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为确保</w:t>
      </w:r>
      <w:r>
        <w:rPr>
          <w:rFonts w:hint="eastAsia" w:ascii="仿宋_GB2312" w:eastAsia="仿宋_GB2312"/>
          <w:color w:val="000000"/>
          <w:kern w:val="0"/>
          <w:sz w:val="32"/>
          <w:szCs w:val="32"/>
          <w:lang w:val="en-US" w:eastAsia="zh-CN"/>
        </w:rPr>
        <w:t>第十四届全国学生运动会篮球项目预赛</w:t>
      </w:r>
      <w:r>
        <w:rPr>
          <w:rFonts w:hint="eastAsia" w:ascii="仿宋_GB2312" w:eastAsia="仿宋_GB2312"/>
          <w:color w:val="000000"/>
          <w:kern w:val="0"/>
          <w:sz w:val="32"/>
          <w:szCs w:val="32"/>
        </w:rPr>
        <w:t>活动组织、承办工作的顺利开展，中国大学生体育协会</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中国中学生体育协会</w:t>
      </w:r>
      <w:r>
        <w:rPr>
          <w:rFonts w:hint="eastAsia" w:ascii="仿宋_GB2312" w:eastAsia="仿宋_GB2312"/>
          <w:color w:val="000000"/>
          <w:kern w:val="0"/>
          <w:sz w:val="32"/>
          <w:szCs w:val="32"/>
        </w:rPr>
        <w:t>（以下简称体协）现正式启动申办工作。有关事宜通知如下：</w:t>
      </w:r>
    </w:p>
    <w:p>
      <w:pPr>
        <w:pStyle w:val="8"/>
        <w:numPr>
          <w:ilvl w:val="0"/>
          <w:numId w:val="1"/>
        </w:numPr>
        <w:tabs>
          <w:tab w:val="left" w:pos="3960"/>
        </w:tabs>
        <w:spacing w:line="360" w:lineRule="auto"/>
        <w:ind w:firstLineChars="0"/>
        <w:rPr>
          <w:rFonts w:hint="eastAsia" w:ascii="仿宋_GB2312" w:eastAsia="仿宋_GB2312"/>
          <w:color w:val="000000"/>
          <w:kern w:val="0"/>
          <w:sz w:val="32"/>
          <w:szCs w:val="32"/>
        </w:rPr>
      </w:pPr>
      <w:r>
        <w:rPr>
          <w:rFonts w:hint="eastAsia" w:ascii="仿宋_GB2312" w:eastAsia="仿宋_GB2312"/>
          <w:color w:val="000000"/>
          <w:kern w:val="0"/>
          <w:sz w:val="32"/>
          <w:szCs w:val="32"/>
        </w:rPr>
        <w:t>申办时间</w:t>
      </w:r>
    </w:p>
    <w:p>
      <w:pPr>
        <w:pStyle w:val="8"/>
        <w:numPr>
          <w:ilvl w:val="0"/>
          <w:numId w:val="0"/>
        </w:numPr>
        <w:tabs>
          <w:tab w:val="left" w:pos="3960"/>
        </w:tabs>
        <w:spacing w:line="360" w:lineRule="auto"/>
        <w:ind w:left="640" w:leftChars="0"/>
        <w:rPr>
          <w:rFonts w:hint="eastAsia" w:ascii="仿宋_GB2312" w:eastAsia="仿宋_GB2312"/>
          <w:color w:val="000000"/>
          <w:kern w:val="0"/>
          <w:sz w:val="32"/>
          <w:szCs w:val="32"/>
        </w:rPr>
      </w:pPr>
      <w:r>
        <w:rPr>
          <w:rFonts w:hint="eastAsia" w:ascii="仿宋_GB2312" w:eastAsia="仿宋_GB2312"/>
          <w:color w:val="000000"/>
          <w:kern w:val="0"/>
          <w:sz w:val="32"/>
          <w:szCs w:val="32"/>
        </w:rPr>
        <w:t>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rPr>
        <w:t>年</w:t>
      </w:r>
      <w:r>
        <w:rPr>
          <w:rFonts w:hint="eastAsia" w:ascii="仿宋_GB2312" w:eastAsia="仿宋_GB2312"/>
          <w:color w:val="000000"/>
          <w:kern w:val="0"/>
          <w:sz w:val="32"/>
          <w:szCs w:val="32"/>
          <w:lang w:val="en-US" w:eastAsia="zh-CN"/>
        </w:rPr>
        <w:t>10</w:t>
      </w:r>
      <w:r>
        <w:rPr>
          <w:rFonts w:hint="eastAsia" w:ascii="仿宋_GB2312" w:eastAsia="仿宋_GB2312"/>
          <w:color w:val="000000"/>
          <w:kern w:val="0"/>
          <w:sz w:val="32"/>
          <w:szCs w:val="32"/>
        </w:rPr>
        <w:t>月</w:t>
      </w:r>
      <w:r>
        <w:rPr>
          <w:rFonts w:hint="eastAsia" w:ascii="仿宋_GB2312" w:eastAsia="仿宋_GB2312"/>
          <w:color w:val="000000"/>
          <w:kern w:val="0"/>
          <w:sz w:val="32"/>
          <w:szCs w:val="32"/>
          <w:lang w:val="en-US" w:eastAsia="zh-CN"/>
        </w:rPr>
        <w:t>15</w:t>
      </w:r>
      <w:r>
        <w:rPr>
          <w:rFonts w:hint="eastAsia" w:ascii="仿宋_GB2312" w:eastAsia="仿宋_GB2312"/>
          <w:color w:val="000000"/>
          <w:kern w:val="0"/>
          <w:sz w:val="32"/>
          <w:szCs w:val="32"/>
        </w:rPr>
        <w:t>日</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31</w:t>
      </w:r>
      <w:r>
        <w:rPr>
          <w:rFonts w:hint="eastAsia" w:ascii="仿宋_GB2312" w:eastAsia="仿宋_GB2312"/>
          <w:color w:val="000000"/>
          <w:kern w:val="0"/>
          <w:sz w:val="32"/>
          <w:szCs w:val="32"/>
        </w:rPr>
        <w:t>日</w:t>
      </w:r>
    </w:p>
    <w:p>
      <w:pPr>
        <w:pStyle w:val="8"/>
        <w:numPr>
          <w:ilvl w:val="0"/>
          <w:numId w:val="1"/>
        </w:numPr>
        <w:tabs>
          <w:tab w:val="left" w:pos="3960"/>
        </w:tabs>
        <w:spacing w:line="360" w:lineRule="auto"/>
        <w:ind w:firstLineChars="0"/>
        <w:rPr>
          <w:rFonts w:hint="eastAsia" w:ascii="仿宋_GB2312" w:eastAsia="仿宋_GB2312"/>
          <w:color w:val="000000"/>
          <w:kern w:val="0"/>
          <w:sz w:val="32"/>
          <w:szCs w:val="32"/>
        </w:rPr>
      </w:pPr>
      <w:r>
        <w:rPr>
          <w:rFonts w:hint="eastAsia" w:ascii="仿宋_GB2312" w:eastAsia="仿宋_GB2312"/>
          <w:color w:val="000000"/>
          <w:kern w:val="0"/>
          <w:sz w:val="32"/>
          <w:szCs w:val="32"/>
        </w:rPr>
        <w:t>申报程序</w:t>
      </w:r>
    </w:p>
    <w:p>
      <w:pPr>
        <w:tabs>
          <w:tab w:val="left" w:pos="3960"/>
        </w:tabs>
        <w:spacing w:line="360" w:lineRule="auto"/>
        <w:ind w:left="640"/>
        <w:rPr>
          <w:rFonts w:ascii="仿宋_GB2312" w:eastAsia="仿宋_GB2312"/>
          <w:color w:val="000000"/>
          <w:kern w:val="0"/>
          <w:sz w:val="32"/>
          <w:szCs w:val="32"/>
        </w:rPr>
      </w:pPr>
      <w:r>
        <w:rPr>
          <w:rFonts w:hint="eastAsia" w:ascii="仿宋_GB2312" w:eastAsia="仿宋_GB2312"/>
          <w:sz w:val="32"/>
          <w:szCs w:val="32"/>
        </w:rPr>
        <w:t>（一）发布通知</w:t>
      </w:r>
    </w:p>
    <w:p>
      <w:pPr>
        <w:pStyle w:val="12"/>
        <w:spacing w:before="0" w:line="605" w:lineRule="exact"/>
        <w:ind w:firstLine="66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体协</w:t>
      </w:r>
      <w:r>
        <w:rPr>
          <w:rFonts w:hint="eastAsia" w:ascii="仿宋_GB2312" w:hAnsi="Times New Roman" w:eastAsia="仿宋_GB2312" w:cs="Times New Roman"/>
          <w:spacing w:val="0"/>
          <w:sz w:val="32"/>
          <w:szCs w:val="32"/>
        </w:rPr>
        <w:t>根据</w:t>
      </w:r>
      <w:r>
        <w:rPr>
          <w:rFonts w:hint="eastAsia" w:ascii="仿宋_GB2312" w:hAnsi="Times New Roman" w:eastAsia="仿宋_GB2312" w:cs="Times New Roman"/>
          <w:spacing w:val="0"/>
          <w:sz w:val="32"/>
          <w:szCs w:val="32"/>
          <w:lang w:val="en-US" w:eastAsia="zh-CN"/>
        </w:rPr>
        <w:t>《关于印发中华人民共和国第十四届学生运动会竞赛规程的</w:t>
      </w:r>
      <w:r>
        <w:rPr>
          <w:rFonts w:hint="eastAsia" w:ascii="仿宋_GB2312" w:hAnsi="Times New Roman" w:eastAsia="仿宋_GB2312" w:cs="Times New Roman"/>
          <w:spacing w:val="0"/>
          <w:sz w:val="32"/>
          <w:szCs w:val="32"/>
        </w:rPr>
        <w:t>通知</w:t>
      </w:r>
      <w:r>
        <w:rPr>
          <w:rFonts w:hint="eastAsia" w:ascii="仿宋_GB2312" w:hAnsi="Times New Roman" w:eastAsia="仿宋_GB2312" w:cs="Times New Roman"/>
          <w:spacing w:val="0"/>
          <w:sz w:val="32"/>
          <w:szCs w:val="32"/>
          <w:lang w:val="en-US" w:eastAsia="zh-CN"/>
        </w:rPr>
        <w:t>》</w:t>
      </w:r>
      <w:r>
        <w:rPr>
          <w:rFonts w:hint="eastAsia" w:ascii="仿宋_GB2312" w:hAnsi="Times New Roman" w:eastAsia="仿宋_GB2312" w:cs="Times New Roman"/>
          <w:spacing w:val="0"/>
          <w:sz w:val="32"/>
          <w:szCs w:val="32"/>
        </w:rPr>
        <w:t>，申请承办的单位（以下简称申办单位）应当具备以下条件：</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1.</w:t>
      </w:r>
      <w:r>
        <w:rPr>
          <w:rFonts w:hint="eastAsia" w:ascii="仿宋_GB2312" w:hAnsi="Times New Roman" w:eastAsia="仿宋_GB2312" w:cs="Times New Roman"/>
          <w:spacing w:val="0"/>
          <w:sz w:val="32"/>
          <w:szCs w:val="32"/>
        </w:rPr>
        <w:t>能够独立承担民事责任。</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2.</w:t>
      </w:r>
      <w:r>
        <w:rPr>
          <w:rFonts w:hint="eastAsia" w:ascii="仿宋_GB2312" w:hAnsi="Times New Roman" w:eastAsia="仿宋_GB2312" w:cs="Times New Roman"/>
          <w:spacing w:val="0"/>
          <w:sz w:val="32"/>
          <w:szCs w:val="32"/>
        </w:rPr>
        <w:t>具备相应的竞赛活动组织机构和管理人员。</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3.</w:t>
      </w:r>
      <w:r>
        <w:rPr>
          <w:rFonts w:hint="eastAsia" w:ascii="仿宋_GB2312" w:hAnsi="Times New Roman" w:eastAsia="仿宋_GB2312" w:cs="Times New Roman"/>
          <w:spacing w:val="0"/>
          <w:sz w:val="32"/>
          <w:szCs w:val="32"/>
        </w:rPr>
        <w:t>具备相应的竞赛活动运行经费。</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4.</w:t>
      </w:r>
      <w:r>
        <w:rPr>
          <w:rFonts w:hint="eastAsia" w:ascii="仿宋_GB2312" w:hAnsi="Times New Roman" w:eastAsia="仿宋_GB2312" w:cs="Times New Roman"/>
          <w:spacing w:val="0"/>
          <w:sz w:val="32"/>
          <w:szCs w:val="32"/>
        </w:rPr>
        <w:t>具备相应的竞赛活动场地、设施和器材等。</w:t>
      </w:r>
    </w:p>
    <w:p>
      <w:pPr>
        <w:pStyle w:val="12"/>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（二）报送材料</w:t>
      </w:r>
    </w:p>
    <w:p>
      <w:pPr>
        <w:pStyle w:val="12"/>
        <w:spacing w:before="0" w:line="598" w:lineRule="exact"/>
        <w:ind w:firstLine="68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申办单位经省级教育行政部门批准后根据申办通知向体协提交申办报告，包括以下材料：</w:t>
      </w:r>
    </w:p>
    <w:p>
      <w:pPr>
        <w:pStyle w:val="12"/>
        <w:numPr>
          <w:ilvl w:val="0"/>
          <w:numId w:val="0"/>
        </w:numPr>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1.</w:t>
      </w:r>
      <w:r>
        <w:rPr>
          <w:rFonts w:hint="eastAsia" w:ascii="仿宋_GB2312" w:hAnsi="Times New Roman" w:eastAsia="仿宋_GB2312" w:cs="Times New Roman"/>
          <w:spacing w:val="0"/>
          <w:sz w:val="32"/>
          <w:szCs w:val="32"/>
        </w:rPr>
        <w:t>申办单位的文字申请报告（加盖省级教育行政部门公章）。</w:t>
      </w:r>
    </w:p>
    <w:p>
      <w:pPr>
        <w:pStyle w:val="12"/>
        <w:numPr>
          <w:ilvl w:val="0"/>
          <w:numId w:val="0"/>
        </w:numPr>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2.</w:t>
      </w:r>
      <w:r>
        <w:rPr>
          <w:rFonts w:hint="eastAsia" w:ascii="仿宋_GB2312" w:hAnsi="Times New Roman" w:eastAsia="仿宋_GB2312" w:cs="Times New Roman"/>
          <w:spacing w:val="0"/>
          <w:sz w:val="32"/>
          <w:szCs w:val="32"/>
        </w:rPr>
        <w:t>竞赛活动经费预算（加盖申办单位财务专用章）。</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3.</w:t>
      </w:r>
      <w:r>
        <w:rPr>
          <w:rFonts w:hint="eastAsia" w:ascii="仿宋_GB2312" w:hAnsi="Times New Roman" w:eastAsia="仿宋_GB2312" w:cs="Times New Roman"/>
          <w:spacing w:val="0"/>
          <w:sz w:val="32"/>
          <w:szCs w:val="32"/>
        </w:rPr>
        <w:t>竞赛活动的组织和安全保卫方案。</w:t>
      </w:r>
    </w:p>
    <w:p>
      <w:pPr>
        <w:pStyle w:val="12"/>
        <w:numPr>
          <w:ilvl w:val="0"/>
          <w:numId w:val="0"/>
        </w:numPr>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4.</w:t>
      </w:r>
      <w:r>
        <w:rPr>
          <w:rFonts w:hint="eastAsia" w:ascii="仿宋_GB2312" w:hAnsi="Times New Roman" w:eastAsia="仿宋_GB2312" w:cs="Times New Roman"/>
          <w:spacing w:val="0"/>
          <w:sz w:val="32"/>
          <w:szCs w:val="32"/>
        </w:rPr>
        <w:t>场地器材设施情况说明，包括场馆达标资质证明、场馆布局图、观众席座位数等。</w:t>
      </w:r>
    </w:p>
    <w:p>
      <w:pPr>
        <w:pStyle w:val="12"/>
        <w:numPr>
          <w:ilvl w:val="0"/>
          <w:numId w:val="0"/>
        </w:numPr>
        <w:spacing w:before="0" w:line="598" w:lineRule="exact"/>
        <w:ind w:firstLine="640" w:firstLineChars="200"/>
        <w:jc w:val="left"/>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5.</w:t>
      </w:r>
      <w:r>
        <w:rPr>
          <w:rFonts w:hint="eastAsia" w:ascii="仿宋_GB2312" w:hAnsi="Times New Roman" w:eastAsia="仿宋_GB2312" w:cs="Times New Roman"/>
          <w:spacing w:val="0"/>
          <w:sz w:val="32"/>
          <w:szCs w:val="32"/>
        </w:rPr>
        <w:t>以往承办竞赛活动情况。</w:t>
      </w:r>
    </w:p>
    <w:p>
      <w:pPr>
        <w:pStyle w:val="10"/>
        <w:numPr>
          <w:ilvl w:val="0"/>
          <w:numId w:val="0"/>
        </w:numPr>
        <w:ind w:firstLine="640" w:firstLineChars="200"/>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lang w:val="en-US" w:eastAsia="zh-CN"/>
        </w:rPr>
        <w:t>6.</w:t>
      </w:r>
      <w:r>
        <w:rPr>
          <w:rFonts w:hint="eastAsia" w:ascii="仿宋_GB2312" w:hAnsi="Times New Roman" w:eastAsia="仿宋_GB2312" w:cs="Times New Roman"/>
          <w:spacing w:val="0"/>
          <w:sz w:val="32"/>
          <w:szCs w:val="32"/>
        </w:rPr>
        <w:t>其它书面补充材料。</w:t>
      </w:r>
      <w:r>
        <w:rPr>
          <w:rFonts w:hint="eastAsia" w:ascii="仿宋_GB2312" w:hAnsi="Times New Roman" w:eastAsia="仿宋_GB2312" w:cs="Times New Roman"/>
          <w:spacing w:val="0"/>
          <w:sz w:val="32"/>
          <w:szCs w:val="32"/>
        </w:rPr>
        <w:tab/>
      </w:r>
    </w:p>
    <w:p>
      <w:pPr>
        <w:pStyle w:val="10"/>
        <w:ind w:firstLine="68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申办单位在截止日期前可以补充、修改或撤回已提交的申请文件，并上报书面材料。补充、修改的内容为申请文件的组成部分。竞赛活动需要办理治安、卫生、税务等其他审 批手续的，申办单位应当按照有关规定办理。</w:t>
      </w:r>
    </w:p>
    <w:p>
      <w:pPr>
        <w:pStyle w:val="11"/>
        <w:spacing w:after="0" w:line="598" w:lineRule="exact"/>
        <w:ind w:firstLine="640" w:firstLineChars="200"/>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（三）专家评定</w:t>
      </w:r>
    </w:p>
    <w:p>
      <w:pPr>
        <w:pStyle w:val="11"/>
        <w:spacing w:after="0" w:line="598" w:lineRule="exact"/>
        <w:ind w:firstLine="640" w:firstLineChars="200"/>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体协将组织专家委员会本着公正的原则对申办单位进行书面材料评审和实地考察，公布评定结果，最终由体协印发竞赛通知。</w:t>
      </w:r>
    </w:p>
    <w:p>
      <w:pPr>
        <w:pStyle w:val="9"/>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三、申报方式及联系人</w:t>
      </w:r>
    </w:p>
    <w:p>
      <w:pPr>
        <w:pStyle w:val="12"/>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（一）申报方式</w:t>
      </w:r>
    </w:p>
    <w:p>
      <w:pPr>
        <w:pStyle w:val="12"/>
        <w:spacing w:before="0" w:line="598" w:lineRule="exact"/>
        <w:ind w:firstLine="68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凡有申办意向的单位请按照申报要求准备相关材料，于规定时间内分别快递至体协</w:t>
      </w:r>
      <w:r>
        <w:rPr>
          <w:rFonts w:ascii="仿宋_GB2312" w:hAnsi="Times New Roman" w:eastAsia="仿宋_GB2312" w:cs="Times New Roman"/>
          <w:spacing w:val="0"/>
          <w:sz w:val="32"/>
          <w:szCs w:val="32"/>
        </w:rPr>
        <w:t>（地</w:t>
      </w:r>
      <w:r>
        <w:rPr>
          <w:rFonts w:hint="eastAsia" w:ascii="仿宋_GB2312" w:hAnsi="Times New Roman" w:eastAsia="仿宋_GB2312" w:cs="Times New Roman"/>
          <w:spacing w:val="0"/>
          <w:sz w:val="32"/>
          <w:szCs w:val="32"/>
        </w:rPr>
        <w:t>址：北京市顺义区空港</w:t>
      </w:r>
      <w:r>
        <w:rPr>
          <w:rFonts w:hint="eastAsia" w:ascii="仿宋_GB2312" w:hAnsi="Times New Roman" w:eastAsia="仿宋_GB2312" w:cs="Times New Roman"/>
          <w:spacing w:val="0"/>
          <w:sz w:val="32"/>
          <w:szCs w:val="32"/>
          <w:lang w:val="en-US" w:eastAsia="zh-CN"/>
        </w:rPr>
        <w:t>工业区B区</w:t>
      </w:r>
      <w:r>
        <w:rPr>
          <w:rFonts w:hint="eastAsia" w:ascii="仿宋_GB2312" w:hAnsi="Times New Roman" w:eastAsia="仿宋_GB2312" w:cs="Times New Roman"/>
          <w:spacing w:val="0"/>
          <w:sz w:val="32"/>
          <w:szCs w:val="32"/>
        </w:rPr>
        <w:t>融慧园33-2号楼竞赛部）。</w:t>
      </w:r>
    </w:p>
    <w:p>
      <w:pPr>
        <w:pStyle w:val="12"/>
        <w:numPr>
          <w:ilvl w:val="0"/>
          <w:numId w:val="2"/>
        </w:numPr>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联系方式</w:t>
      </w:r>
    </w:p>
    <w:p>
      <w:pPr>
        <w:pStyle w:val="12"/>
        <w:numPr>
          <w:ilvl w:val="0"/>
          <w:numId w:val="0"/>
        </w:numPr>
        <w:spacing w:before="0" w:line="598" w:lineRule="exact"/>
        <w:ind w:firstLine="640" w:firstLineChars="200"/>
        <w:jc w:val="both"/>
        <w:rPr>
          <w:rFonts w:hint="eastAsia" w:ascii="仿宋_GB2312" w:hAnsi="Times New Roman" w:eastAsia="仿宋_GB2312" w:cs="Times New Roman"/>
          <w:spacing w:val="0"/>
          <w:sz w:val="32"/>
          <w:szCs w:val="32"/>
          <w:lang w:val="en-US" w:eastAsia="zh-CN"/>
        </w:rPr>
      </w:pPr>
      <w:r>
        <w:rPr>
          <w:rFonts w:hint="eastAsia" w:ascii="仿宋_GB2312" w:hAnsi="Times New Roman" w:eastAsia="仿宋_GB2312" w:cs="Times New Roman"/>
          <w:spacing w:val="0"/>
          <w:sz w:val="32"/>
          <w:szCs w:val="32"/>
        </w:rPr>
        <w:t>联系人：</w:t>
      </w:r>
      <w:r>
        <w:rPr>
          <w:rFonts w:hint="eastAsia" w:ascii="仿宋_GB2312" w:hAnsi="Times New Roman" w:eastAsia="仿宋_GB2312" w:cs="Times New Roman"/>
          <w:spacing w:val="0"/>
          <w:sz w:val="32"/>
          <w:szCs w:val="32"/>
          <w:lang w:val="en-US" w:eastAsia="zh-CN"/>
        </w:rPr>
        <w:t>李 臻</w:t>
      </w:r>
    </w:p>
    <w:p>
      <w:pPr>
        <w:pStyle w:val="12"/>
        <w:numPr>
          <w:ilvl w:val="0"/>
          <w:numId w:val="0"/>
        </w:numPr>
        <w:spacing w:before="0" w:line="598" w:lineRule="exact"/>
        <w:ind w:firstLine="640" w:firstLineChars="200"/>
        <w:jc w:val="both"/>
        <w:rPr>
          <w:rFonts w:hint="eastAsia" w:ascii="仿宋_GB2312" w:hAnsi="Times New Roman" w:eastAsia="仿宋_GB2312" w:cs="Times New Roman"/>
          <w:spacing w:val="0"/>
          <w:sz w:val="32"/>
          <w:szCs w:val="32"/>
          <w:lang w:val="en-US" w:eastAsia="zh-CN"/>
        </w:rPr>
      </w:pPr>
      <w:r>
        <w:rPr>
          <w:rFonts w:hint="eastAsia" w:ascii="仿宋_GB2312" w:hAnsi="Times New Roman" w:eastAsia="仿宋_GB2312" w:cs="Times New Roman"/>
          <w:spacing w:val="0"/>
          <w:sz w:val="32"/>
          <w:szCs w:val="32"/>
        </w:rPr>
        <w:t>电  话：010-660937</w:t>
      </w:r>
      <w:r>
        <w:rPr>
          <w:rFonts w:hint="eastAsia" w:ascii="仿宋_GB2312" w:hAnsi="Times New Roman" w:eastAsia="仿宋_GB2312" w:cs="Times New Roman"/>
          <w:spacing w:val="0"/>
          <w:sz w:val="32"/>
          <w:szCs w:val="32"/>
          <w:lang w:val="en-US" w:eastAsia="zh-CN"/>
        </w:rPr>
        <w:t>29</w:t>
      </w:r>
      <w:r>
        <w:rPr>
          <w:rFonts w:hint="eastAsia" w:ascii="仿宋_GB2312" w:hAnsi="Times New Roman" w:eastAsia="仿宋_GB2312" w:cs="Times New Roman"/>
          <w:spacing w:val="0"/>
          <w:sz w:val="32"/>
          <w:szCs w:val="32"/>
        </w:rPr>
        <w:t xml:space="preserve"> </w:t>
      </w:r>
      <w:r>
        <w:rPr>
          <w:rFonts w:ascii="仿宋_GB2312" w:hAnsi="Times New Roman" w:eastAsia="仿宋_GB2312" w:cs="Times New Roman"/>
          <w:spacing w:val="0"/>
          <w:sz w:val="32"/>
          <w:szCs w:val="32"/>
        </w:rPr>
        <w:t>,</w:t>
      </w:r>
      <w:r>
        <w:rPr>
          <w:rFonts w:hint="eastAsia" w:ascii="仿宋_GB2312" w:hAnsi="Times New Roman" w:eastAsia="仿宋_GB2312" w:cs="Times New Roman"/>
          <w:spacing w:val="0"/>
          <w:sz w:val="32"/>
          <w:szCs w:val="32"/>
        </w:rPr>
        <w:t xml:space="preserve"> </w:t>
      </w:r>
      <w:r>
        <w:rPr>
          <w:rFonts w:ascii="仿宋_GB2312" w:hAnsi="Times New Roman" w:eastAsia="仿宋_GB2312" w:cs="Times New Roman"/>
          <w:spacing w:val="0"/>
          <w:sz w:val="32"/>
          <w:szCs w:val="32"/>
        </w:rPr>
        <w:t>传真：</w:t>
      </w:r>
      <w:r>
        <w:rPr>
          <w:rFonts w:hint="eastAsia" w:ascii="仿宋_GB2312" w:hAnsi="Times New Roman" w:eastAsia="仿宋_GB2312" w:cs="Times New Roman"/>
          <w:spacing w:val="0"/>
          <w:sz w:val="32"/>
          <w:szCs w:val="32"/>
        </w:rPr>
        <w:t xml:space="preserve"> 010-660937</w:t>
      </w:r>
      <w:r>
        <w:rPr>
          <w:rFonts w:hint="eastAsia" w:ascii="仿宋_GB2312" w:hAnsi="Times New Roman" w:eastAsia="仿宋_GB2312" w:cs="Times New Roman"/>
          <w:spacing w:val="0"/>
          <w:sz w:val="32"/>
          <w:szCs w:val="32"/>
          <w:lang w:val="en-US" w:eastAsia="zh-CN"/>
        </w:rPr>
        <w:t>77</w:t>
      </w:r>
    </w:p>
    <w:p>
      <w:pPr>
        <w:pStyle w:val="12"/>
        <w:numPr>
          <w:ilvl w:val="0"/>
          <w:numId w:val="0"/>
        </w:numPr>
        <w:spacing w:before="0" w:line="598" w:lineRule="exact"/>
        <w:ind w:firstLine="640"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spacing w:val="0"/>
          <w:sz w:val="32"/>
          <w:szCs w:val="32"/>
          <w:lang w:val="en-US" w:eastAsia="zh-CN"/>
        </w:rPr>
        <w:t>四、</w:t>
      </w:r>
      <w:r>
        <w:rPr>
          <w:rFonts w:hint="eastAsia" w:ascii="仿宋_GB2312" w:hAnsi="Times New Roman" w:eastAsia="仿宋_GB2312" w:cs="Times New Roman"/>
          <w:color w:val="auto"/>
          <w:sz w:val="32"/>
          <w:szCs w:val="32"/>
        </w:rPr>
        <w:t>有关经费</w:t>
      </w:r>
    </w:p>
    <w:p>
      <w:pPr>
        <w:pStyle w:val="12"/>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（一）</w:t>
      </w:r>
      <w:r>
        <w:rPr>
          <w:rFonts w:hint="eastAsia" w:ascii="仿宋_GB2312" w:eastAsia="仿宋_GB2312"/>
          <w:color w:val="000000"/>
          <w:kern w:val="0"/>
          <w:sz w:val="32"/>
          <w:szCs w:val="32"/>
          <w:lang w:val="en-US" w:eastAsia="zh-CN"/>
        </w:rPr>
        <w:t>预赛</w:t>
      </w:r>
      <w:r>
        <w:rPr>
          <w:rFonts w:hint="eastAsia" w:ascii="仿宋_GB2312" w:eastAsia="仿宋_GB2312"/>
          <w:color w:val="000000"/>
          <w:kern w:val="0"/>
          <w:sz w:val="32"/>
          <w:szCs w:val="32"/>
        </w:rPr>
        <w:t>活动</w:t>
      </w:r>
      <w:r>
        <w:rPr>
          <w:rFonts w:hint="eastAsia" w:ascii="仿宋_GB2312" w:hAnsi="Times New Roman" w:eastAsia="仿宋_GB2312" w:cs="Times New Roman"/>
          <w:spacing w:val="0"/>
          <w:sz w:val="32"/>
          <w:szCs w:val="32"/>
        </w:rPr>
        <w:t>的相关经费根据竞赛规程相关规定执行。</w:t>
      </w:r>
    </w:p>
    <w:p>
      <w:pPr>
        <w:pStyle w:val="12"/>
        <w:spacing w:before="0" w:line="598" w:lineRule="exact"/>
        <w:ind w:firstLine="640" w:firstLineChars="200"/>
        <w:jc w:val="both"/>
        <w:rPr>
          <w:rFonts w:hint="eastAsia"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（二）</w:t>
      </w:r>
      <w:r>
        <w:rPr>
          <w:rFonts w:hint="eastAsia" w:ascii="仿宋_GB2312" w:hAnsi="Times New Roman" w:eastAsia="仿宋_GB2312" w:cs="Times New Roman"/>
          <w:spacing w:val="0"/>
          <w:sz w:val="32"/>
          <w:szCs w:val="32"/>
        </w:rPr>
        <w:tab/>
      </w:r>
      <w:r>
        <w:rPr>
          <w:rFonts w:hint="eastAsia" w:ascii="仿宋_GB2312" w:hAnsi="Times New Roman" w:eastAsia="仿宋_GB2312" w:cs="Times New Roman"/>
          <w:spacing w:val="0"/>
          <w:sz w:val="32"/>
          <w:szCs w:val="32"/>
        </w:rPr>
        <w:t>申办单位应设立专用账户独立结算。所有竞赛活动经费必须进入该账户且只能用于本项竞赛的相关活动。</w:t>
      </w:r>
    </w:p>
    <w:p>
      <w:pPr>
        <w:ind w:firstLine="640" w:firstLineChars="200"/>
        <w:rPr>
          <w:rFonts w:hint="eastAsia" w:ascii="仿宋_GB2312" w:eastAsia="仿宋_GB2312"/>
          <w:color w:val="000000"/>
          <w:kern w:val="0"/>
          <w:sz w:val="32"/>
          <w:szCs w:val="32"/>
        </w:rPr>
      </w:pPr>
      <w:r>
        <w:rPr>
          <w:rFonts w:ascii="仿宋_GB2312" w:eastAsia="仿宋_GB2312"/>
          <w:color w:val="000000"/>
          <w:kern w:val="0"/>
          <w:sz w:val="32"/>
          <w:szCs w:val="32"/>
        </w:rPr>
        <w:t>（三）</w:t>
      </w:r>
      <w:r>
        <w:rPr>
          <w:rFonts w:ascii="仿宋_GB2312" w:eastAsia="仿宋_GB2312"/>
          <w:color w:val="000000"/>
          <w:kern w:val="0"/>
          <w:sz w:val="32"/>
          <w:szCs w:val="32"/>
        </w:rPr>
        <w:tab/>
      </w:r>
      <w:r>
        <w:rPr>
          <w:rFonts w:ascii="仿宋_GB2312" w:eastAsia="仿宋_GB2312"/>
          <w:color w:val="000000"/>
          <w:kern w:val="0"/>
          <w:sz w:val="32"/>
          <w:szCs w:val="32"/>
        </w:rPr>
        <w:t>经费的使用必须遵守竞赛规程的有关要求和国家的相关财务及审计制度。</w:t>
      </w:r>
    </w:p>
    <w:p>
      <w:pPr>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val="en-US" w:eastAsia="zh-CN"/>
        </w:rPr>
        <w:t>附件：申办计划表</w:t>
      </w:r>
      <w:r>
        <w:rPr>
          <w:rFonts w:hint="eastAsia" w:ascii="仿宋_GB2312" w:eastAsia="仿宋_GB2312"/>
          <w:color w:val="000000"/>
          <w:kern w:val="0"/>
          <w:sz w:val="32"/>
          <w:szCs w:val="32"/>
        </w:rPr>
        <w:t xml:space="preserve">                          </w:t>
      </w: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4480" w:firstLineChars="1400"/>
        <w:rPr>
          <w:rFonts w:ascii="仿宋_GB2312" w:eastAsia="仿宋_GB2312"/>
          <w:color w:val="000000"/>
          <w:kern w:val="0"/>
          <w:sz w:val="32"/>
          <w:szCs w:val="32"/>
        </w:rPr>
      </w:pPr>
      <w:r>
        <w:rPr>
          <w:rFonts w:hint="eastAsia" w:ascii="仿宋_GB2312" w:eastAsia="仿宋_GB2312"/>
          <w:color w:val="000000"/>
          <w:kern w:val="0"/>
          <w:sz w:val="32"/>
          <w:szCs w:val="32"/>
        </w:rPr>
        <w:t xml:space="preserve"> 中国大学生体育协会</w:t>
      </w:r>
    </w:p>
    <w:p>
      <w:pPr>
        <w:spacing w:line="360" w:lineRule="auto"/>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rPr>
        <w:t>年</w:t>
      </w:r>
      <w:r>
        <w:rPr>
          <w:rFonts w:hint="eastAsia" w:ascii="仿宋_GB2312" w:eastAsia="仿宋_GB2312"/>
          <w:color w:val="000000"/>
          <w:kern w:val="0"/>
          <w:sz w:val="32"/>
          <w:szCs w:val="32"/>
          <w:lang w:val="en-US" w:eastAsia="zh-CN"/>
        </w:rPr>
        <w:t>10</w:t>
      </w:r>
      <w:r>
        <w:rPr>
          <w:rFonts w:hint="eastAsia" w:ascii="仿宋_GB2312" w:eastAsia="仿宋_GB2312"/>
          <w:color w:val="000000"/>
          <w:kern w:val="0"/>
          <w:sz w:val="32"/>
          <w:szCs w:val="32"/>
        </w:rPr>
        <w:t>月</w:t>
      </w:r>
      <w:r>
        <w:rPr>
          <w:rFonts w:hint="eastAsia" w:ascii="仿宋_GB2312" w:eastAsia="仿宋_GB2312"/>
          <w:color w:val="000000"/>
          <w:kern w:val="0"/>
          <w:sz w:val="32"/>
          <w:szCs w:val="32"/>
          <w:lang w:val="en-US" w:eastAsia="zh-CN"/>
        </w:rPr>
        <w:t>11</w:t>
      </w:r>
      <w:r>
        <w:rPr>
          <w:rFonts w:hint="eastAsia" w:ascii="仿宋_GB2312" w:eastAsia="仿宋_GB2312"/>
          <w:color w:val="000000"/>
          <w:kern w:val="0"/>
          <w:sz w:val="32"/>
          <w:szCs w:val="32"/>
        </w:rPr>
        <w:t>日</w:t>
      </w:r>
    </w:p>
    <w:p>
      <w:pPr>
        <w:spacing w:line="360" w:lineRule="auto"/>
        <w:rPr>
          <w:rFonts w:hint="eastAsia" w:ascii="仿宋_GB2312" w:eastAsia="仿宋_GB2312"/>
          <w:color w:val="000000"/>
          <w:kern w:val="0"/>
          <w:sz w:val="32"/>
          <w:szCs w:val="32"/>
        </w:rPr>
      </w:pPr>
    </w:p>
    <w:p>
      <w:pPr>
        <w:spacing w:line="360" w:lineRule="auto"/>
        <w:rPr>
          <w:rFonts w:hint="eastAsia" w:ascii="仿宋_GB2312" w:eastAsia="仿宋_GB2312"/>
          <w:color w:val="000000"/>
          <w:kern w:val="0"/>
          <w:sz w:val="32"/>
          <w:szCs w:val="32"/>
        </w:rPr>
      </w:pPr>
    </w:p>
    <w:p>
      <w:pPr>
        <w:spacing w:line="360" w:lineRule="auto"/>
        <w:rPr>
          <w:rFonts w:hint="eastAsia" w:ascii="仿宋_GB2312" w:eastAsia="仿宋_GB2312"/>
          <w:color w:val="000000"/>
          <w:kern w:val="0"/>
          <w:sz w:val="32"/>
          <w:szCs w:val="32"/>
        </w:rPr>
      </w:pPr>
      <w:bookmarkStart w:id="0" w:name="_GoBack"/>
      <w:bookmarkEnd w:id="0"/>
    </w:p>
    <w:p>
      <w:pPr>
        <w:spacing w:line="360" w:lineRule="auto"/>
        <w:rPr>
          <w:rFonts w:hint="eastAsia" w:ascii="仿宋_GB2312" w:eastAsia="仿宋_GB2312"/>
          <w:color w:val="000000"/>
          <w:kern w:val="0"/>
          <w:sz w:val="32"/>
          <w:szCs w:val="32"/>
        </w:rPr>
      </w:pPr>
    </w:p>
    <w:p>
      <w:pPr>
        <w:spacing w:line="360" w:lineRule="auto"/>
        <w:rPr>
          <w:rFonts w:hint="eastAsia" w:ascii="仿宋_GB2312" w:eastAsia="仿宋_GB2312"/>
          <w:color w:val="000000"/>
          <w:kern w:val="0"/>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附件：</w:t>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申办计划表</w:t>
      </w:r>
    </w:p>
    <w:p>
      <w:pPr>
        <w:spacing w:line="360" w:lineRule="auto"/>
        <w:jc w:val="center"/>
        <w:rPr>
          <w:rFonts w:hint="eastAsia" w:ascii="黑体" w:hAnsi="黑体" w:eastAsia="黑体" w:cs="黑体"/>
          <w:sz w:val="36"/>
          <w:szCs w:val="36"/>
          <w:lang w:val="en-US" w:eastAsia="zh-CN"/>
        </w:rPr>
      </w:pPr>
    </w:p>
    <w:tbl>
      <w:tblPr>
        <w:tblStyle w:val="4"/>
        <w:tblW w:w="9187" w:type="dxa"/>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988"/>
        <w:gridCol w:w="1134"/>
        <w:gridCol w:w="1417"/>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48" w:type="dxa"/>
            <w:tcBorders>
              <w:top w:val="double" w:color="auto" w:sz="2" w:space="0"/>
              <w:left w:val="double" w:color="auto" w:sz="2" w:space="0"/>
              <w:bottom w:val="single" w:color="auto" w:sz="4" w:space="0"/>
              <w:right w:val="single" w:color="auto" w:sz="4" w:space="0"/>
            </w:tcBorders>
            <w:vAlign w:val="center"/>
          </w:tcPr>
          <w:p>
            <w:pPr>
              <w:spacing w:line="340" w:lineRule="exact"/>
              <w:jc w:val="center"/>
              <w:rPr>
                <w:rFonts w:ascii="仿宋_GB2312" w:eastAsia="仿宋_GB2312"/>
                <w:b/>
                <w:bCs/>
                <w:szCs w:val="21"/>
              </w:rPr>
            </w:pPr>
            <w:r>
              <w:rPr>
                <w:rFonts w:hint="eastAsia" w:ascii="仿宋_GB2312" w:eastAsia="仿宋_GB2312"/>
                <w:b/>
                <w:bCs/>
              </w:rPr>
              <w:t>序</w:t>
            </w:r>
          </w:p>
        </w:tc>
        <w:tc>
          <w:tcPr>
            <w:tcW w:w="5988" w:type="dxa"/>
            <w:tcBorders>
              <w:top w:val="double" w:color="auto" w:sz="2" w:space="0"/>
              <w:left w:val="nil"/>
              <w:bottom w:val="single" w:color="auto" w:sz="4" w:space="0"/>
              <w:right w:val="single" w:color="auto" w:sz="4" w:space="0"/>
            </w:tcBorders>
            <w:vAlign w:val="center"/>
          </w:tcPr>
          <w:p>
            <w:pPr>
              <w:spacing w:line="340" w:lineRule="exact"/>
              <w:jc w:val="center"/>
              <w:rPr>
                <w:rFonts w:ascii="仿宋_GB2312" w:eastAsia="仿宋_GB2312"/>
                <w:b/>
                <w:bCs/>
                <w:szCs w:val="21"/>
              </w:rPr>
            </w:pPr>
            <w:r>
              <w:rPr>
                <w:rFonts w:hint="eastAsia" w:ascii="仿宋_GB2312" w:eastAsia="仿宋_GB2312"/>
                <w:b/>
                <w:bCs/>
              </w:rPr>
              <w:t>名          称</w:t>
            </w:r>
          </w:p>
        </w:tc>
        <w:tc>
          <w:tcPr>
            <w:tcW w:w="1134" w:type="dxa"/>
            <w:tcBorders>
              <w:top w:val="double" w:color="auto" w:sz="2" w:space="0"/>
              <w:left w:val="nil"/>
              <w:bottom w:val="single" w:color="auto" w:sz="4" w:space="0"/>
              <w:right w:val="single" w:color="auto" w:sz="4" w:space="0"/>
            </w:tcBorders>
            <w:vAlign w:val="center"/>
          </w:tcPr>
          <w:p>
            <w:pPr>
              <w:spacing w:line="280" w:lineRule="exact"/>
              <w:rPr>
                <w:rFonts w:ascii="仿宋_GB2312" w:eastAsia="仿宋_GB2312"/>
                <w:b/>
                <w:bCs/>
                <w:szCs w:val="21"/>
              </w:rPr>
            </w:pPr>
            <w:r>
              <w:rPr>
                <w:rFonts w:hint="eastAsia" w:ascii="仿宋_GB2312" w:eastAsia="仿宋_GB2312"/>
                <w:b/>
                <w:bCs/>
              </w:rPr>
              <w:t>组织时间</w:t>
            </w:r>
          </w:p>
        </w:tc>
        <w:tc>
          <w:tcPr>
            <w:tcW w:w="1417" w:type="dxa"/>
            <w:tcBorders>
              <w:top w:val="double" w:color="auto" w:sz="2" w:space="0"/>
              <w:left w:val="nil"/>
              <w:bottom w:val="single" w:color="auto" w:sz="4" w:space="0"/>
              <w:right w:val="double" w:color="auto" w:sz="2" w:space="0"/>
            </w:tcBorders>
            <w:vAlign w:val="center"/>
          </w:tcPr>
          <w:p>
            <w:pPr>
              <w:spacing w:line="340" w:lineRule="exact"/>
              <w:jc w:val="center"/>
              <w:rPr>
                <w:rFonts w:ascii="仿宋_GB2312" w:eastAsia="仿宋_GB2312"/>
                <w:b/>
                <w:bCs/>
                <w:szCs w:val="21"/>
              </w:rPr>
            </w:pPr>
            <w:r>
              <w:rPr>
                <w:rFonts w:ascii="仿宋_GB2312" w:eastAsia="仿宋_GB2312"/>
                <w:b/>
                <w:bCs/>
                <w:szCs w:val="21"/>
              </w:rPr>
              <w:t>经费来源</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648" w:type="dxa"/>
            <w:tcBorders>
              <w:top w:val="single" w:color="auto" w:sz="4" w:space="0"/>
              <w:left w:val="double" w:color="auto" w:sz="2" w:space="0"/>
              <w:bottom w:val="single" w:color="auto" w:sz="4" w:space="0"/>
              <w:right w:val="single" w:color="auto" w:sz="4" w:space="0"/>
            </w:tcBorders>
            <w:vAlign w:val="center"/>
          </w:tcPr>
          <w:p>
            <w:pPr>
              <w:spacing w:line="400" w:lineRule="exact"/>
              <w:jc w:val="center"/>
              <w:rPr>
                <w:rFonts w:hint="eastAsia" w:ascii="仿宋_GB2312" w:eastAsia="仿宋_GB2312"/>
              </w:rPr>
            </w:pPr>
            <w:r>
              <w:rPr>
                <w:rFonts w:hint="eastAsia" w:ascii="仿宋_GB2312" w:eastAsia="仿宋_GB2312"/>
              </w:rPr>
              <w:t>1</w:t>
            </w:r>
          </w:p>
        </w:tc>
        <w:tc>
          <w:tcPr>
            <w:tcW w:w="5988"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_GB2312" w:eastAsia="仿宋_GB2312"/>
                <w:lang w:val="en-US"/>
              </w:rPr>
            </w:pPr>
            <w:r>
              <w:rPr>
                <w:rFonts w:hint="eastAsia" w:ascii="仿宋_GB2312" w:eastAsia="仿宋_GB2312"/>
                <w:lang w:val="en-US" w:eastAsia="zh-CN"/>
              </w:rPr>
              <w:t>中华人民共和国第十四届学生运动会篮球项目预赛（大学组）</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_GB2312" w:eastAsia="仿宋_GB2312"/>
                <w:szCs w:val="21"/>
                <w:lang w:val="en-US" w:eastAsia="zh-CN"/>
              </w:rPr>
            </w:pPr>
            <w:r>
              <w:rPr>
                <w:rFonts w:hint="eastAsia" w:ascii="仿宋_GB2312" w:eastAsia="仿宋_GB2312"/>
                <w:lang w:val="en-US" w:eastAsia="zh-CN"/>
              </w:rPr>
              <w:t>12</w:t>
            </w:r>
            <w:r>
              <w:rPr>
                <w:rFonts w:hint="eastAsia" w:ascii="仿宋_GB2312" w:eastAsia="仿宋_GB2312"/>
              </w:rPr>
              <w:t>月</w:t>
            </w:r>
            <w:r>
              <w:rPr>
                <w:rFonts w:hint="eastAsia" w:ascii="仿宋_GB2312" w:eastAsia="仿宋_GB2312"/>
                <w:lang w:val="en-US" w:eastAsia="zh-CN"/>
              </w:rPr>
              <w:t>-1月</w:t>
            </w:r>
          </w:p>
        </w:tc>
        <w:tc>
          <w:tcPr>
            <w:tcW w:w="1417" w:type="dxa"/>
            <w:tcBorders>
              <w:top w:val="single" w:color="auto" w:sz="4" w:space="0"/>
              <w:left w:val="nil"/>
              <w:bottom w:val="single" w:color="auto" w:sz="4" w:space="0"/>
              <w:right w:val="double" w:color="auto" w:sz="2" w:space="0"/>
            </w:tcBorders>
            <w:vAlign w:val="center"/>
          </w:tcPr>
          <w:p>
            <w:pPr>
              <w:spacing w:line="400" w:lineRule="exact"/>
              <w:jc w:val="center"/>
              <w:rPr>
                <w:rFonts w:hint="eastAsia" w:ascii="仿宋_GB2312" w:eastAsia="仿宋_GB2312"/>
                <w:szCs w:val="21"/>
                <w:lang w:eastAsia="zh-CN"/>
              </w:rPr>
            </w:pPr>
            <w:r>
              <w:rPr>
                <w:rFonts w:hint="eastAsia" w:ascii="仿宋_GB2312" w:eastAsia="仿宋_GB2312"/>
                <w:szCs w:val="21"/>
                <w:lang w:val="en-US" w:eastAsia="zh-CN"/>
              </w:rPr>
              <w:t>体协</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48" w:type="dxa"/>
            <w:tcBorders>
              <w:top w:val="single" w:color="auto" w:sz="4" w:space="0"/>
              <w:left w:val="double" w:color="auto" w:sz="2"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598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lang w:val="en-US" w:eastAsia="zh-CN"/>
              </w:rPr>
              <w:t>中华人民共和国第十四届学生运动会篮球项目预赛（中学组）</w:t>
            </w:r>
          </w:p>
        </w:tc>
        <w:tc>
          <w:tcPr>
            <w:tcW w:w="113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2月</w:t>
            </w:r>
          </w:p>
        </w:tc>
        <w:tc>
          <w:tcPr>
            <w:tcW w:w="1417" w:type="dxa"/>
            <w:tcBorders>
              <w:top w:val="single" w:color="auto" w:sz="4" w:space="0"/>
              <w:left w:val="nil"/>
              <w:bottom w:val="single" w:color="auto" w:sz="4" w:space="0"/>
              <w:right w:val="double" w:color="auto" w:sz="2" w:space="0"/>
            </w:tcBorders>
            <w:vAlign w:val="center"/>
          </w:tcPr>
          <w:p>
            <w:pPr>
              <w:spacing w:line="400" w:lineRule="exact"/>
              <w:jc w:val="center"/>
              <w:rPr>
                <w:rFonts w:ascii="仿宋_GB2312" w:eastAsia="仿宋_GB2312"/>
              </w:rPr>
            </w:pPr>
            <w:r>
              <w:rPr>
                <w:rFonts w:ascii="仿宋_GB2312" w:eastAsia="仿宋_GB2312"/>
              </w:rPr>
              <w:t>体协</w:t>
            </w:r>
          </w:p>
        </w:tc>
      </w:tr>
    </w:tbl>
    <w:p>
      <w:pPr>
        <w:spacing w:line="360" w:lineRule="auto"/>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82865"/>
    <w:multiLevelType w:val="singleLevel"/>
    <w:tmpl w:val="D3482865"/>
    <w:lvl w:ilvl="0" w:tentative="0">
      <w:start w:val="2"/>
      <w:numFmt w:val="chineseCounting"/>
      <w:suff w:val="nothing"/>
      <w:lvlText w:val="（%1）"/>
      <w:lvlJc w:val="left"/>
      <w:rPr>
        <w:rFonts w:hint="eastAsia"/>
      </w:rPr>
    </w:lvl>
  </w:abstractNum>
  <w:abstractNum w:abstractNumId="1">
    <w:nsid w:val="4EC64374"/>
    <w:multiLevelType w:val="multilevel"/>
    <w:tmpl w:val="4EC6437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61C"/>
    <w:rsid w:val="002A7AC0"/>
    <w:rsid w:val="0074703B"/>
    <w:rsid w:val="00794A30"/>
    <w:rsid w:val="007F561C"/>
    <w:rsid w:val="00A6101B"/>
    <w:rsid w:val="00BF2615"/>
    <w:rsid w:val="00E125D3"/>
    <w:rsid w:val="00ED0BC8"/>
    <w:rsid w:val="03841A8B"/>
    <w:rsid w:val="09A35B03"/>
    <w:rsid w:val="0DEC13C1"/>
    <w:rsid w:val="26B56924"/>
    <w:rsid w:val="367B1792"/>
    <w:rsid w:val="467B0DF1"/>
    <w:rsid w:val="4CC9787C"/>
    <w:rsid w:val="50245E68"/>
    <w:rsid w:val="55DC00DB"/>
    <w:rsid w:val="57951553"/>
    <w:rsid w:val="5C0A123D"/>
    <w:rsid w:val="5FD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 w:type="paragraph" w:customStyle="1" w:styleId="9">
    <w:name w:val="Body text|3"/>
    <w:basedOn w:val="1"/>
    <w:qFormat/>
    <w:uiPriority w:val="0"/>
    <w:pPr>
      <w:shd w:val="clear" w:color="auto" w:fill="FFFFFF"/>
      <w:spacing w:line="598" w:lineRule="exact"/>
      <w:ind w:firstLine="680"/>
      <w:jc w:val="distribute"/>
    </w:pPr>
    <w:rPr>
      <w:rFonts w:ascii="PMingLiU" w:hAnsi="宋体" w:eastAsia="PMingLiU" w:cs="宋体"/>
      <w:color w:val="000000"/>
      <w:kern w:val="0"/>
      <w:sz w:val="30"/>
      <w:szCs w:val="30"/>
    </w:rPr>
  </w:style>
  <w:style w:type="paragraph" w:customStyle="1" w:styleId="10">
    <w:name w:val="Table of contents|1"/>
    <w:basedOn w:val="1"/>
    <w:qFormat/>
    <w:uiPriority w:val="0"/>
    <w:pPr>
      <w:shd w:val="clear" w:color="auto" w:fill="FFFFFF"/>
      <w:spacing w:line="598" w:lineRule="exact"/>
      <w:jc w:val="left"/>
    </w:pPr>
    <w:rPr>
      <w:rFonts w:ascii="PMingLiU" w:hAnsi="宋体" w:eastAsia="PMingLiU" w:cs="宋体"/>
      <w:color w:val="000000"/>
      <w:spacing w:val="30"/>
      <w:kern w:val="0"/>
      <w:sz w:val="30"/>
      <w:szCs w:val="30"/>
    </w:rPr>
  </w:style>
  <w:style w:type="paragraph" w:customStyle="1" w:styleId="11">
    <w:name w:val="Table of contents|2"/>
    <w:basedOn w:val="1"/>
    <w:qFormat/>
    <w:uiPriority w:val="0"/>
    <w:pPr>
      <w:shd w:val="clear" w:color="auto" w:fill="FFFFFF"/>
      <w:spacing w:after="200" w:line="280" w:lineRule="exact"/>
    </w:pPr>
    <w:rPr>
      <w:rFonts w:ascii="PMingLiU" w:hAnsi="宋体" w:eastAsia="PMingLiU" w:cs="宋体"/>
      <w:color w:val="000000"/>
      <w:spacing w:val="40"/>
      <w:kern w:val="0"/>
      <w:sz w:val="28"/>
      <w:szCs w:val="28"/>
    </w:rPr>
  </w:style>
  <w:style w:type="paragraph" w:customStyle="1" w:styleId="12">
    <w:name w:val="Body text|2"/>
    <w:basedOn w:val="1"/>
    <w:qFormat/>
    <w:uiPriority w:val="0"/>
    <w:pPr>
      <w:shd w:val="clear" w:color="auto" w:fill="FFFFFF"/>
      <w:spacing w:before="780" w:line="634" w:lineRule="exact"/>
      <w:jc w:val="distribute"/>
    </w:pPr>
    <w:rPr>
      <w:rFonts w:ascii="PMingLiU" w:hAnsi="宋体" w:eastAsia="PMingLiU" w:cs="宋体"/>
      <w:color w:val="000000"/>
      <w:spacing w:val="30"/>
      <w:kern w:val="0"/>
      <w:sz w:val="30"/>
      <w:szCs w:val="30"/>
    </w:rPr>
  </w:style>
  <w:style w:type="character" w:customStyle="1" w:styleId="13">
    <w:name w:val="15"/>
    <w:basedOn w:val="5"/>
    <w:qFormat/>
    <w:uiPriority w:val="0"/>
    <w:rPr>
      <w:rFonts w:hint="eastAsia" w:ascii="PMingLiU" w:eastAsia="PMingLiU"/>
      <w:color w:val="000000"/>
      <w:spacing w:val="0"/>
      <w:sz w:val="10"/>
      <w:szCs w:val="10"/>
    </w:rPr>
  </w:style>
  <w:style w:type="character" w:customStyle="1" w:styleId="14">
    <w:name w:val="16"/>
    <w:basedOn w:val="5"/>
    <w:qFormat/>
    <w:uiPriority w:val="0"/>
    <w:rPr>
      <w:rFonts w:hint="eastAsia" w:ascii="PMingLiU" w:eastAsia="PMingLiU"/>
      <w:color w:val="000000"/>
      <w:spacing w:val="10"/>
      <w:sz w:val="26"/>
      <w:szCs w:val="26"/>
    </w:rPr>
  </w:style>
  <w:style w:type="character" w:customStyle="1" w:styleId="15">
    <w:name w:val="18"/>
    <w:basedOn w:val="5"/>
    <w:qFormat/>
    <w:uiPriority w:val="0"/>
    <w:rPr>
      <w:rFonts w:hint="eastAsia" w:ascii="PMingLiU" w:eastAsia="PMingLiU"/>
      <w:color w:val="000000"/>
      <w:spacing w:val="0"/>
      <w:sz w:val="30"/>
      <w:szCs w:val="30"/>
    </w:rPr>
  </w:style>
  <w:style w:type="character" w:customStyle="1" w:styleId="16">
    <w:name w:val="20"/>
    <w:basedOn w:val="5"/>
    <w:qFormat/>
    <w:uiPriority w:val="0"/>
    <w:rPr>
      <w:rFonts w:hint="eastAsia" w:ascii="PMingLiU" w:eastAsia="PMingLiU"/>
      <w:color w:val="000000"/>
      <w:spacing w:val="7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957</Words>
  <Characters>1013</Characters>
  <Lines>15</Lines>
  <Paragraphs>4</Paragraphs>
  <TotalTime>3</TotalTime>
  <ScaleCrop>false</ScaleCrop>
  <LinksUpToDate>false</LinksUpToDate>
  <CharactersWithSpaces>1105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70960</dc:creator>
  <cp:lastModifiedBy>李臻</cp:lastModifiedBy>
  <cp:lastPrinted>2019-10-14T02:46:56Z</cp:lastPrinted>
  <dcterms:modified xsi:type="dcterms:W3CDTF">2019-10-14T02:47:58Z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