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 w:bidi="zh-CN"/>
        </w:rPr>
        <w:t xml:space="preserve">                                           </w:t>
      </w:r>
      <w:r>
        <w:rPr>
          <w:rFonts w:hint="eastAsia" w:ascii="仿宋" w:hAnsi="仿宋" w:eastAsia="仿宋" w:cs="仿宋"/>
          <w:spacing w:val="-14"/>
          <w:sz w:val="32"/>
          <w:szCs w:val="32"/>
          <w:lang w:val="zh-CN" w:eastAsia="zh-CN" w:bidi="zh-CN"/>
        </w:rPr>
        <w:t>大体协[201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 w:bidi="zh-CN"/>
        </w:rPr>
        <w:t>9]</w:t>
      </w:r>
      <w:bookmarkStart w:id="0" w:name="_GoBack"/>
      <w:bookmarkEnd w:id="0"/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 w:bidi="zh-CN"/>
        </w:rPr>
        <w:t>394</w:t>
      </w:r>
      <w:r>
        <w:rPr>
          <w:rFonts w:hint="eastAsia" w:ascii="仿宋" w:hAnsi="仿宋" w:eastAsia="仿宋" w:cs="仿宋"/>
          <w:spacing w:val="-14"/>
          <w:sz w:val="32"/>
          <w:szCs w:val="32"/>
          <w:lang w:val="zh-CN" w:eastAsia="zh-CN" w:bidi="zh-CN"/>
        </w:rPr>
        <w:t>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关于开展校园篮球联赛一级裁判员培训工作的通知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各省、自治区、直辖市教育厅（教委）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学生体育协会：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由各单位审核推荐的校园篮球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联赛</w:t>
      </w:r>
      <w:r>
        <w:rPr>
          <w:rFonts w:hint="eastAsia" w:ascii="仿宋" w:hAnsi="仿宋" w:eastAsia="仿宋" w:cs="仿宋"/>
          <w:sz w:val="32"/>
          <w:szCs w:val="32"/>
        </w:rPr>
        <w:t>一级裁判员名单已汇总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审核并予以公示。</w:t>
      </w:r>
      <w:r>
        <w:rPr>
          <w:rFonts w:hint="eastAsia" w:ascii="仿宋" w:hAnsi="仿宋" w:eastAsia="仿宋" w:cs="仿宋"/>
          <w:sz w:val="32"/>
          <w:szCs w:val="32"/>
        </w:rPr>
        <w:t>为更好的完成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2019-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赛季校园篮球</w:t>
      </w:r>
      <w:r>
        <w:rPr>
          <w:rFonts w:hint="eastAsia" w:ascii="仿宋" w:hAnsi="仿宋" w:eastAsia="仿宋" w:cs="仿宋"/>
          <w:sz w:val="32"/>
          <w:szCs w:val="32"/>
        </w:rPr>
        <w:t>联赛的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</w:rPr>
        <w:t>执裁任务，强化裁判队伍思想道德意识，提高裁判员的执裁能力，确保联赛竞赛组织工作的顺利开展。经研究，决定于10月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日期间开展一级裁判员培训班报名工作，并计划于12月5 日至12月 8日在山东农业大学组织培训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与考核工作</w:t>
      </w:r>
      <w:r>
        <w:rPr>
          <w:rFonts w:hint="eastAsia" w:ascii="仿宋" w:hAnsi="仿宋" w:eastAsia="仿宋" w:cs="仿宋"/>
          <w:sz w:val="32"/>
          <w:szCs w:val="32"/>
        </w:rPr>
        <w:t>，现将有关事宜通知如下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晋升一级裁判员满两年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以上（以报名截至日期为准）。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身高：男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子180cm（含180）</w:t>
      </w:r>
      <w:r>
        <w:rPr>
          <w:rFonts w:hint="eastAsia" w:ascii="仿宋" w:hAnsi="仿宋" w:eastAsia="仿宋" w:cs="仿宋"/>
          <w:sz w:val="32"/>
          <w:szCs w:val="32"/>
        </w:rPr>
        <w:t>以上；女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170cm（含170）</w:t>
      </w:r>
      <w:r>
        <w:rPr>
          <w:rFonts w:hint="eastAsia" w:ascii="仿宋" w:hAnsi="仿宋" w:eastAsia="仿宋" w:cs="仿宋"/>
          <w:sz w:val="32"/>
          <w:szCs w:val="32"/>
        </w:rPr>
        <w:t xml:space="preserve">以上。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执裁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经历：需执裁</w:t>
      </w:r>
      <w:r>
        <w:rPr>
          <w:rFonts w:hint="eastAsia" w:ascii="仿宋" w:hAnsi="仿宋" w:eastAsia="仿宋" w:cs="仿宋"/>
          <w:sz w:val="32"/>
          <w:szCs w:val="32"/>
        </w:rPr>
        <w:t>全国正式比赛两次以上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中国大学生体育协会、中国中学生体育协会和</w:t>
      </w:r>
      <w:r>
        <w:rPr>
          <w:rFonts w:hint="eastAsia" w:ascii="仿宋" w:hAnsi="仿宋" w:eastAsia="仿宋" w:cs="仿宋"/>
          <w:sz w:val="32"/>
          <w:szCs w:val="32"/>
        </w:rPr>
        <w:t>中国篮协主办的各类比赛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包括但不限于执裁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中国大学生篮球联赛（CUBA）分区赛、中国中学生篮球联赛分区赛、</w:t>
      </w:r>
      <w:r>
        <w:rPr>
          <w:rFonts w:hint="eastAsia" w:ascii="仿宋" w:hAnsi="仿宋" w:eastAsia="仿宋" w:cs="仿宋"/>
          <w:sz w:val="32"/>
          <w:szCs w:val="32"/>
        </w:rPr>
        <w:t>青年联赛、俱乐部联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赛、女子锦标赛、中国篮协U系列比赛、CBO全国总决赛、肯德基三人篮球总决赛、三对三篮球联赛（大区赛、总决赛）、全国三人篮球擂台赛（大区赛、总决赛）、全国三人篮球锦标赛系列赛事、中国小篮球联赛大区训练营。集训赛、全国篮球城市篮球赛等赛事裁判员须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教育部学生体育协会或中国</w:t>
      </w:r>
      <w:r>
        <w:rPr>
          <w:rFonts w:hint="eastAsia" w:ascii="仿宋" w:hAnsi="仿宋" w:eastAsia="仿宋" w:cs="仿宋"/>
          <w:sz w:val="32"/>
          <w:szCs w:val="32"/>
        </w:rPr>
        <w:t>篮协相关部门调派的裁判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、报名所需材料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按要求填报《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校园篮球一级</w:t>
      </w:r>
      <w:r>
        <w:rPr>
          <w:rFonts w:hint="eastAsia" w:ascii="仿宋" w:hAnsi="仿宋" w:eastAsia="仿宋" w:cs="仿宋"/>
          <w:sz w:val="32"/>
          <w:szCs w:val="32"/>
        </w:rPr>
        <w:t>裁判员登记表》（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提供执裁比赛的秩序册（封面及裁判员名单复印页）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本人身份证正反面复印件（印在一页上）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一级裁判员证书复印件（包括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执裁记录、</w:t>
      </w:r>
      <w:r>
        <w:rPr>
          <w:rFonts w:hint="eastAsia" w:ascii="仿宋" w:hAnsi="仿宋" w:eastAsia="仿宋" w:cs="仿宋"/>
          <w:sz w:val="32"/>
          <w:szCs w:val="32"/>
        </w:rPr>
        <w:t xml:space="preserve">裁判长签字页等）。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3.所在工作单位提供的在职证明并加盖公章。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、报名办法及截止日期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"mailto:请各单位通知符合报名资格的裁判员（名单见附件1）在10月16日--25日期间将报名所需材料电子版扫描件发送至指定邮箱zhangpeng@fusc.org.cn。未按时间完成报名者，按自动放弃本年度联赛执裁资格处理。"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请符合报名资格的裁判员（附件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5日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将报名所需材料电子版扫描件发送至指定邮箱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未按时间完成报名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或资料提交不完整者</w:t>
      </w:r>
      <w:r>
        <w:rPr>
          <w:rFonts w:hint="eastAsia" w:ascii="仿宋" w:hAnsi="仿宋" w:eastAsia="仿宋" w:cs="仿宋"/>
          <w:sz w:val="32"/>
          <w:szCs w:val="32"/>
        </w:rPr>
        <w:t>，按自动放弃处理。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报名工作全部结束后将在中国学生体育网进行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www.sports.edu.cn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，公示合格者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可参加培训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考核。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臻 18513417153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彭 18652196005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邮  箱：</w:t>
      </w:r>
      <w:r>
        <w:rPr>
          <w:rFonts w:hint="eastAsia" w:ascii="仿宋" w:hAnsi="仿宋" w:eastAsia="仿宋" w:cs="仿宋"/>
          <w:sz w:val="32"/>
          <w:szCs w:val="32"/>
        </w:rPr>
        <w:t>zhangpeng@fusc.org.cn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培训时间、地点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培训时间：12月5日-8日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报到时间：12月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12:00前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报到地点：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山东农业大学北校区体育馆（山东省泰安市泰山区岱宗大街64号）。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培训班纪律监督委员会，培训考核小组成员12月4日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18:00前</w:t>
      </w:r>
      <w:r>
        <w:rPr>
          <w:rFonts w:hint="eastAsia" w:ascii="仿宋" w:hAnsi="仿宋" w:eastAsia="仿宋" w:cs="仿宋"/>
          <w:sz w:val="32"/>
          <w:szCs w:val="32"/>
        </w:rPr>
        <w:t>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如报名后不按时报到者，按自动放弃处理。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、培训及相关考核要求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裁判员考核包含、理论考试（含英语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满分100分，</w:t>
      </w:r>
      <w:r>
        <w:rPr>
          <w:rFonts w:hint="eastAsia" w:ascii="仿宋" w:hAnsi="仿宋" w:eastAsia="仿宋" w:cs="仿宋"/>
          <w:sz w:val="32"/>
          <w:szCs w:val="32"/>
        </w:rPr>
        <w:t>60分及格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视频考试（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满分50分，</w:t>
      </w:r>
      <w:r>
        <w:rPr>
          <w:rFonts w:hint="eastAsia" w:ascii="仿宋" w:hAnsi="仿宋" w:eastAsia="仿宋" w:cs="仿宋"/>
          <w:sz w:val="32"/>
          <w:szCs w:val="32"/>
        </w:rPr>
        <w:t>40分及格）和体能测试。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2.体能测试：莱格尔测试男子86趟，女子66趟。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考试及格者，将根据考试成绩择优录取前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名额分配如下：</w:t>
      </w:r>
      <w:r>
        <w:rPr>
          <w:rFonts w:hint="eastAsia" w:ascii="仿宋" w:hAnsi="仿宋" w:eastAsia="仿宋" w:cs="仿宋"/>
          <w:sz w:val="32"/>
          <w:szCs w:val="32"/>
        </w:rPr>
        <w:t>年龄30岁以下（含30岁）占70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，30岁以上占30%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年龄30岁以下（含30岁）英语6级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及以上</w:t>
      </w:r>
      <w:r>
        <w:rPr>
          <w:rFonts w:hint="eastAsia" w:ascii="仿宋" w:hAnsi="仿宋" w:eastAsia="仿宋" w:cs="仿宋"/>
          <w:sz w:val="32"/>
          <w:szCs w:val="32"/>
        </w:rPr>
        <w:t>、篮球运动员一级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及以上</w:t>
      </w:r>
      <w:r>
        <w:rPr>
          <w:rFonts w:hint="eastAsia" w:ascii="仿宋" w:hAnsi="仿宋" w:eastAsia="仿宋" w:cs="仿宋"/>
          <w:sz w:val="32"/>
          <w:szCs w:val="32"/>
        </w:rPr>
        <w:t>者，根据考核组审定给予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一定的加分（最高5分）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考试结束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后录用的裁判员</w:t>
      </w:r>
      <w:r>
        <w:rPr>
          <w:rFonts w:hint="eastAsia" w:ascii="仿宋" w:hAnsi="仿宋" w:eastAsia="仿宋" w:cs="仿宋"/>
          <w:sz w:val="32"/>
          <w:szCs w:val="32"/>
        </w:rPr>
        <w:t>，将在中国学生体育网（www.sports.edu.cn)进行公示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</w:t>
      </w:r>
      <w:r>
        <w:rPr>
          <w:rFonts w:hint="eastAsia" w:ascii="仿宋" w:hAnsi="仿宋" w:eastAsia="仿宋" w:cs="仿宋"/>
          <w:sz w:val="32"/>
          <w:szCs w:val="32"/>
        </w:rPr>
        <w:t>后将予以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工作选派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课程设置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三对三比赛规则与裁判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韩栩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2.2019年</w:t>
      </w:r>
      <w:r>
        <w:rPr>
          <w:rFonts w:hint="eastAsia" w:ascii="仿宋" w:hAnsi="仿宋" w:eastAsia="仿宋" w:cs="仿宋"/>
          <w:sz w:val="32"/>
          <w:szCs w:val="32"/>
        </w:rPr>
        <w:t>篮球规则及解释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曾洪涛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3.五人制篮球裁判法与联赛</w:t>
      </w:r>
      <w:r>
        <w:rPr>
          <w:rFonts w:hint="eastAsia" w:ascii="仿宋" w:hAnsi="仿宋" w:eastAsia="仿宋" w:cs="仿宋"/>
          <w:sz w:val="32"/>
          <w:szCs w:val="32"/>
        </w:rPr>
        <w:t>执裁原则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杨茂功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基本功与裁判法运用训练课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闫军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七、经费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参加培训班的学员报到时一次性缴纳食宿费600元，现场提供公务卡刷卡服务，往返交通费需自理。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八、未尽事宜另行通知。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附件：1.校园篮球一级</w:t>
      </w:r>
      <w:r>
        <w:rPr>
          <w:rFonts w:hint="eastAsia" w:ascii="仿宋" w:hAnsi="仿宋" w:eastAsia="仿宋" w:cs="仿宋"/>
          <w:sz w:val="32"/>
          <w:szCs w:val="32"/>
        </w:rPr>
        <w:t>裁判员登记表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2.培训班日程安排表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3.裁判员名单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中国大学生体育协会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2019年10月17日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附件1：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校园篮球一级</w:t>
      </w:r>
      <w:r>
        <w:rPr>
          <w:rFonts w:hint="eastAsia" w:ascii="黑体" w:hAnsi="黑体" w:eastAsia="黑体" w:cs="黑体"/>
          <w:sz w:val="36"/>
          <w:szCs w:val="36"/>
        </w:rPr>
        <w:t>裁判员登记表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5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593"/>
        <w:gridCol w:w="1521"/>
        <w:gridCol w:w="31"/>
        <w:gridCol w:w="1354"/>
        <w:gridCol w:w="15"/>
        <w:gridCol w:w="587"/>
        <w:gridCol w:w="783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253" w:type="dxa"/>
            <w:vMerge w:val="restart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照   片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别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身高（CM）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体重（kg）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出生日期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现级别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学历及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毕业院校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一级注册单位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一级批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准时间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700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工作单位地址</w:t>
            </w:r>
          </w:p>
        </w:tc>
        <w:tc>
          <w:tcPr>
            <w:tcW w:w="510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邮编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700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懂何种外语、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掌握程度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运动员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等级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9260" w:type="dxa"/>
            <w:gridSpan w:val="9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个人简历和从事裁判工作的经历：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培训班日程安排</w:t>
      </w:r>
    </w:p>
    <w:tbl>
      <w:tblPr>
        <w:tblStyle w:val="5"/>
        <w:tblW w:w="9600" w:type="dxa"/>
        <w:jc w:val="center"/>
        <w:tblInd w:w="-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74"/>
        <w:gridCol w:w="5075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161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spacing w:before="7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日期</w:t>
            </w:r>
          </w:p>
        </w:tc>
        <w:tc>
          <w:tcPr>
            <w:tcW w:w="177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1067"/>
              </w:tabs>
              <w:spacing w:before="7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5075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spacing w:before="70"/>
              <w:ind w:right="1909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内容及要求</w:t>
            </w:r>
          </w:p>
        </w:tc>
        <w:tc>
          <w:tcPr>
            <w:tcW w:w="1590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spacing w:before="70"/>
              <w:ind w:left="1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16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15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1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  <w:t xml:space="preserve"> 18:00前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2" w:line="242" w:lineRule="auto"/>
              <w:ind w:left="158" w:leftChars="75" w:right="96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纪律监督委员会、培训考核组成员 18：00 前报到；</w:t>
            </w:r>
          </w:p>
          <w:p>
            <w:pPr>
              <w:pStyle w:val="10"/>
              <w:spacing w:before="3" w:line="290" w:lineRule="exact"/>
              <w:ind w:left="0" w:leftChars="0" w:firstLine="158" w:firstLineChars="6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纪律监督委员会、培训考核工作组会议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158" w:line="242" w:lineRule="auto"/>
              <w:ind w:left="496" w:right="123" w:hanging="36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李臻、肖临峰张 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-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2月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154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12:00前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586"/>
              </w:tabs>
              <w:spacing w:before="4" w:line="242" w:lineRule="auto"/>
              <w:ind w:left="0" w:leftChars="0" w:right="25" w:rightChars="0" w:firstLine="142" w:firstLineChars="6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求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：</w:t>
            </w:r>
          </w:p>
          <w:p>
            <w:pPr>
              <w:pStyle w:val="10"/>
              <w:spacing w:before="3"/>
              <w:ind w:left="0" w:leftChars="0" w:firstLine="158" w:firstLineChars="6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报到时交验人身意外伤害保险；</w:t>
            </w:r>
          </w:p>
          <w:p>
            <w:pPr>
              <w:pStyle w:val="10"/>
              <w:spacing w:before="4" w:line="288" w:lineRule="exact"/>
              <w:ind w:left="0" w:leftChars="0" w:firstLine="180" w:firstLineChars="7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缴纳食宿押金；</w:t>
            </w:r>
          </w:p>
          <w:p>
            <w:pPr>
              <w:pStyle w:val="10"/>
              <w:spacing w:before="4" w:line="288" w:lineRule="exact"/>
              <w:ind w:left="0" w:leftChars="0" w:firstLine="158" w:firstLineChars="66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3.测量身高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160" w:line="242" w:lineRule="auto"/>
              <w:ind w:left="107" w:right="-29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李臻、肖临峰张 彭、分会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154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154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14:00—14:30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3"/>
              <w:ind w:left="0" w:leftChars="0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培训班开班仪式</w:t>
            </w:r>
          </w:p>
          <w:p>
            <w:pPr>
              <w:pStyle w:val="10"/>
              <w:spacing w:before="5"/>
              <w:ind w:left="0" w:leftChars="0" w:firstLine="158" w:firstLineChars="6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体协领导讲话；</w:t>
            </w:r>
          </w:p>
          <w:p>
            <w:pPr>
              <w:pStyle w:val="10"/>
              <w:spacing w:before="4"/>
              <w:ind w:left="0" w:leftChars="0" w:firstLine="139" w:firstLineChars="5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体协主管领导提出培训班要求；</w:t>
            </w:r>
          </w:p>
          <w:p>
            <w:pPr>
              <w:pStyle w:val="10"/>
              <w:spacing w:before="5" w:line="288" w:lineRule="exact"/>
              <w:ind w:left="0" w:leftChars="0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培训班学员代表发言；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160" w:line="242" w:lineRule="auto"/>
              <w:ind w:left="107" w:right="-29" w:hanging="118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李臻、肖临峰</w:t>
            </w:r>
          </w:p>
          <w:p>
            <w:pPr>
              <w:pStyle w:val="10"/>
              <w:spacing w:before="160" w:line="242" w:lineRule="auto"/>
              <w:ind w:left="107" w:right="-29" w:hanging="118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 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154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  <w:t xml:space="preserve"> 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4:30—17:30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3" w:line="242" w:lineRule="auto"/>
              <w:ind w:left="78" w:leftChars="37" w:right="2556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体能测试（莱格尔跑） 要求：</w:t>
            </w:r>
          </w:p>
          <w:p>
            <w:pPr>
              <w:pStyle w:val="10"/>
              <w:spacing w:before="3"/>
              <w:ind w:left="38" w:leftChars="18" w:firstLine="81" w:firstLineChars="3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1.男子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86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 趟，女子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66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 趟；</w:t>
            </w:r>
          </w:p>
          <w:p>
            <w:pPr>
              <w:pStyle w:val="10"/>
              <w:spacing w:before="4" w:line="242" w:lineRule="auto"/>
              <w:ind w:left="0" w:leftChars="0" w:right="216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如有伤病必须提交三甲医院诊断书；</w:t>
            </w:r>
          </w:p>
          <w:p>
            <w:pPr>
              <w:pStyle w:val="10"/>
              <w:spacing w:before="3"/>
              <w:ind w:left="97" w:leftChars="46" w:firstLine="21" w:firstLineChars="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有伤病请假的裁判员允许补测一次，具体时间和地点另行通知，所有费用自理；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133" w:line="278" w:lineRule="auto"/>
              <w:ind w:right="1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培训考核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1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19:00-20:00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27"/>
              <w:ind w:left="0" w:leftChars="0" w:firstLine="79" w:firstLineChars="33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讲课：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三对三比赛规则与裁判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法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43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07:00—07:45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586"/>
              </w:tabs>
              <w:ind w:left="0" w:leftChars="0" w:firstLine="98" w:firstLineChars="4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早操（基本功训练）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2" w:line="310" w:lineRule="atLeast"/>
              <w:ind w:left="107" w:right="1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培训考核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:30—11:30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586"/>
              </w:tabs>
              <w:ind w:left="0" w:leftChars="0" w:firstLine="98" w:firstLineChars="41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讲课:201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篮球规则及规则解释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2" w:line="310" w:lineRule="atLeast"/>
              <w:ind w:left="107" w:right="1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曾洪涛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177"/>
              <w:ind w:right="1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14:00—16:00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3" w:line="242" w:lineRule="auto"/>
              <w:ind w:left="0" w:leftChars="0" w:right="3385" w:rightChars="0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理论考试</w:t>
            </w:r>
          </w:p>
          <w:p>
            <w:pPr>
              <w:pStyle w:val="10"/>
              <w:spacing w:before="3" w:line="242" w:lineRule="auto"/>
              <w:ind w:left="0" w:leftChars="0" w:right="147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内容要求：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规则及规则解释、裁判法、三对三</w:t>
            </w:r>
          </w:p>
          <w:p>
            <w:pPr>
              <w:pStyle w:val="10"/>
              <w:spacing w:before="3" w:line="242" w:lineRule="auto"/>
              <w:ind w:left="0" w:leftChars="0" w:right="147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规则和裁判法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培训考核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</w:t>
            </w:r>
          </w:p>
          <w:p>
            <w:pPr>
              <w:pStyle w:val="10"/>
              <w:spacing w:before="4"/>
              <w:ind w:left="31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177"/>
              <w:ind w:right="154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16:00-17:00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3" w:line="242" w:lineRule="auto"/>
              <w:ind w:left="0" w:leftChars="0" w:right="147" w:firstLine="120" w:firstLineChars="50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视频考试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培训监考组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177"/>
              <w:ind w:right="154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19:30-21:30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3" w:line="242" w:lineRule="auto"/>
              <w:ind w:left="0" w:leftChars="0" w:right="147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讲课:基本功和裁判法运用临场训练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闫军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07:00-07:45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586"/>
              </w:tabs>
              <w:ind w:left="0" w:leftChars="0" w:right="0" w:rightChars="0" w:firstLine="98" w:firstLineChars="4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早操（基本功训练）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4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培训监考组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08:30-09:30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586"/>
              </w:tabs>
              <w:ind w:left="0" w:leftChars="0" w:right="0" w:rightChars="0" w:firstLine="98" w:firstLineChars="4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讲课:视频采集和剪辑方法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4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培训监考组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09:30-11:30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586"/>
              </w:tabs>
              <w:ind w:left="0" w:leftChars="0" w:right="0" w:rightChars="0" w:firstLine="98" w:firstLineChars="4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讲课: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五人制篮球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裁判法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杨茂功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14:00-16:30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left="106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讲课:联赛执裁原则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4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杨茂功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1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19:00-21:00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1"/>
              <w:ind w:left="106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讲课:执裁视频分析（一场比赛）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培训监考组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8日</w:t>
            </w: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08:30-10:00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left="106" w:leftChars="0"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讲课:执裁视频分析（一场比赛）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培训监考组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10:00-11:00</w:t>
            </w:r>
          </w:p>
        </w:tc>
        <w:tc>
          <w:tcPr>
            <w:tcW w:w="50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2"/>
              <w:ind w:left="10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培训班结业仪式</w:t>
            </w:r>
          </w:p>
          <w:p>
            <w:pPr>
              <w:pStyle w:val="10"/>
              <w:spacing w:before="5"/>
              <w:ind w:left="10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大体协领导宣布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名单</w:t>
            </w:r>
          </w:p>
          <w:p>
            <w:pPr>
              <w:pStyle w:val="10"/>
              <w:spacing w:before="4"/>
              <w:ind w:left="10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裁判员代表发言 4-6 人，每人 15 分钟</w:t>
            </w:r>
          </w:p>
          <w:p>
            <w:pPr>
              <w:pStyle w:val="10"/>
              <w:spacing w:before="5"/>
              <w:ind w:left="10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大体协领导做培训班总结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before="4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李臻、肖临峰</w:t>
            </w:r>
          </w:p>
          <w:p>
            <w:pPr>
              <w:pStyle w:val="10"/>
              <w:spacing w:before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 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13：00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前</w:t>
            </w:r>
          </w:p>
        </w:tc>
        <w:tc>
          <w:tcPr>
            <w:tcW w:w="5075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spacing w:before="4" w:line="289" w:lineRule="exact"/>
              <w:ind w:left="106" w:leftChars="0" w:right="0" w:rightChars="0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离会</w:t>
            </w:r>
          </w:p>
        </w:tc>
        <w:tc>
          <w:tcPr>
            <w:tcW w:w="1590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spacing w:before="4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李臻、肖临峰、张彭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注：所有课程活动，讲师及学员提前10分钟到场。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裁判员名单</w:t>
      </w:r>
    </w:p>
    <w:tbl>
      <w:tblPr>
        <w:tblStyle w:val="5"/>
        <w:tblW w:w="90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615"/>
        <w:gridCol w:w="1050"/>
        <w:gridCol w:w="690"/>
        <w:gridCol w:w="750"/>
        <w:gridCol w:w="366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李琦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中国人民大学附属中学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袁博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中央财经大学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天津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张玮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天津外国语大学附属滨海外国语学校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张博翔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天津市第三中学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高一超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天津海河教育园区南开学校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张彦坤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天津市武清区杨村第四中学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李宝新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天津市宝坻区第六中学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河北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周鹤鹏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保定市第七中学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沈甲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北华航天工业学院 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于杰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北华航天工业学院 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赵越强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北华航天工业学院 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刘小东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承德石油高等专科学校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姚春清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承德石油高等专科学校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张忠子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东北大学秦皇岛分校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李军毅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邯郸市魏县第八中学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金兆中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河北工业职业技术学院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滕春红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河北环境工程学院 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李世鹏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河北冀州中学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李立波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河北建材职业技术学院 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陈蓓蓓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河北农业大学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李智鹏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河北女子职业技术学院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贾天下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河北省秦皇岛市海港区东港镇第一小学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冯浩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河北司法警官职业学院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张梦露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河北中医学院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毛俊先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秦皇岛市第十五中学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于翔宇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秦皇岛市海港区铁新里小学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左新影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任县第二中学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郭杰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唐山师范学院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孟祥鹏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冀中工程技师学院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孟建玲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邢台市第四中学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范红利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邢台市南和县第二中学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袁志军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邢台市任县邢家湾初级中学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刘振磊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邢台学院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孙皓楠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邢台学院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杨建丰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邢台学院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付月华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邢台医学高等专科学校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付卫国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邢台职业技术学院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李斌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燕京理工学院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贾剑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朔州市平鲁区高石庄学校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朔州市平鲁区李林中学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张国军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朔州市平鲁区李林中学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姚志栋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朔州市朔城区第七中学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王毅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交城县广兴学校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李志新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英杰中学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邓文娇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平遥县南政乡龙海中学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郝晋军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沁源县第一中学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孙亚峰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沁源县第一中学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徐建伟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长治市第二中学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原建品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晋城市凤台中学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苗剑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晋城市五中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王金芳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晋城市泽州一中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常涛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晋城市泽州职中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巩固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晋城市高平中专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吕刚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晋城市技师学院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苗江龙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晋城市技师学院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兰杰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临汾市第一小学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王菲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侯马市第一中学校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乔宁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侯马市第一中学校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翼城二中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刘虎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稷山县稷王中学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吕捷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永济市栲栳中心校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王中科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稷山县稷山中学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高凯凯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垣曲县垣曲中学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闻喜二中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展帅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永济市蒲州中心校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赵文斌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闻喜县青少年活动中心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滑骥飞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临猗县临猗中学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李良晨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永济市蒲州中心校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寻家麟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运城市人民路学校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张登阳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运城力行中学东校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许明正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运城中学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栗剑雄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大同一中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大同二中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董凯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大同市平城区御河小学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苗俊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中北大学朔州校区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谢一菡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中北大学朔州校区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边静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太原理工大学现代科技学院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高国安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山西工程技术学院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商允祥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山西工程技术学院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解赵辉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山西水利职业技术学院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丁宏剑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山西水利职业技术学院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应一帆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晋中学院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董毅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晋中职业技术学院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荆榛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临汾职业技术学院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刘震军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吕梁学院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刘瑞 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吕梁学院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常垒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山西财经大学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王亚亮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山西财贸职业技术学院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毛磊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山西能源学院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席路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山西应用科技学院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张孟谦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阳泉师范高等专科学校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运城学院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王丹平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运城幼儿师范高等专科学校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焦稳龙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山西工商学院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赵慧彪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山西工商学院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张润宇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山西大同大学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赵鹏东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朔州师范高等专科学校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内蒙古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郭树峰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包头轻工职业技术学院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付旭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内蒙古建筑职业技术学院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张炜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包头铁道职业技术学院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秦智勇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呼伦贝尔学院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赵海鹤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包头职业技术学院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包头职业技术学院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刘翔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包头职业技术学院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轩志刚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内蒙古民族大学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辽宁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梁卓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辽宁省大连市甘井子区大连湾镇大连湾小学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秦恩强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沈阳市第二十八中学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郭浩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沈阳理工大学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张云鹏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沈阳体育学院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吉林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张颂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辉南县第二中学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周扬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东北师范大学附属中学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李宇皓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吉林工程技术师范学院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刘思研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长春职业技术学院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长春大学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杨龙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东北电力大学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石凯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吉林体育学院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李超群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吉林铁道职业技术学院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苏航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吉林铁道职业技术学院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张群轶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吉林铁道职业技术学院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史玉磊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白山市浑江区少年儿童体育学校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邢宝山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吉林市第五十五中学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李海滨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吉林工业职业技术学院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王明尧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吉林市第十八中学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许光辉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永吉县第三十五中学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通化师范学院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朱思维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长春市九台区胡家回族中心学校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黑龙江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李晨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东北石油大学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杨智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哈尔滨北方航空职业技术学院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鲍伟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哈尔滨工程大学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童博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哈尔滨工程大学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刘元凯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哈尔滨幼儿师范高等专科学校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马达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鹤岗师范高等专科学校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安金龙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黑龙江东方学院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黑龙江护理高等专科学校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白馥琳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黑龙江生态工程职业学院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刘志桐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黑龙江省宝清县第二中学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密山市第四中学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刘利汉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黑龙江外国语学院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杨波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哈尔滨理工大学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王雨晴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黑龙江八一农垦大学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卜令轩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上海民办华东师大二附中紫竹双语学校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高洋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上海民办永昌学校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李前磊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上海市徐汇中学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廖品皓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上海市敬业中学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饶  坤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上海出版印刷高等专科学校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王博舒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上海市莘庄中学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王秋辰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华东理工大学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王天阳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上海市公用事业学校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赵勇翔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上海交通大学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仲呈昊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上海商学院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朱明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上海中学东校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蒋波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南京外国语学校仙林分校燕子矶校区中学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袁寅然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南京外国语学校仙林分校燕子矶校区中学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康俏俊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杭州市西溪中学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应鲁政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丽水市缙云县壶镇中学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邢瑞峰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杭州市交通职业高级中学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赵彬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浙江省龙泉市顺风实验学校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劳鹏立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杭州市紫金港中学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周斌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杭州师范大学东城实验学校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单俊凯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北大新世纪温州附属学校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刘哲旻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富阳区贤明中学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吕晓雨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杭州市保俶塔实验学校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王洪涛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杭州市拱墅区职业高级中学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俞凯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杭州第九中学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胡健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衢州市衢江区实验小学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杭州市采荷第二小学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王海斌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杭州市天杭实验学校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李帅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杭州市财经职业高中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钱旭 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杭州高级中学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徐彬彬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杭州市教育科学研究所附属小学      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钱旭 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杭州高级中学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秦骑泳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杭州市杨绫子学校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俞云杰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杭州市余杭区育才实验小学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桑玥瑶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杭州市新华实验小学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白雪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台州市椒江区椒江二中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程嘉鹏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衢州市龙游县龙游华茂外国语学校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潘熠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余姚市朗霞小学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徐家乐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衢江区第一初级中学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徐文康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云和县云和中学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张俊凯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宁波市奉化区江口中学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练发有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浙江省庆元中学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潘晨莹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椒江区中山小学杨司校区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周翔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江山市贺村二小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丽水市职业高级中学 教师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王俊杰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浙江省杭州闻涛中学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贵路斌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衢州市东港学校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袁小金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杭州市妙妙培训学校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黄奔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温州市永嘉县东方外国语学校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高炜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瑞安市玉海中心小学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蒋晶晶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宁波市第四中学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边宇飞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杭州勇进实验学校 教师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陈思扬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富阳区富春第三中学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刘驰骋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温州市啸秋中学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李加东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桐乡高桥镇骑塘中心学校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施济深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杭州市采荷第二小学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刘阳阳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中国计量大学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薛冰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浙江理工大学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任力晖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浙江广厦建设职业技术学院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隋天赫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浙江广厦建设职业技术学院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冯卿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浙江理工大学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任海荣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浙江建设职业技术学院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姜汶君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合肥市杨林小学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寇猛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安徽工程大学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刘亚东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合肥职业技术学院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总办主任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王宏程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安徽工业大学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林佳伟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福建软件职业技术学院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江西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陈哲伦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江西水利职业学院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仲翔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青岛市李沧区实验小学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丁峰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济宁市洸河路小学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姜成龙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山东省烟台经济技术开发区第八小学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吕安吉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济南市章丘区相公学区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牛兆义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济南市章丘区第五中学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王浩磊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山东旅游职业学院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齐鲁师范学院体育学院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山东省临沂滨河高中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金超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济宁学院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陈晓龙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青岛西海岸新区珠江路小学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刘晓洁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山东省青州第一中学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卢猛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潍坊市奎文区北苑实验学校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路长青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山东经贸职业学院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王龙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潍坊高新区凤凰学校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王龙飞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寿光市圣城小学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刘骥腾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山东省东明县第一中学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周洪志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山东省东明县第一中学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袁远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宁阳县第二实验幼儿园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丛宏臣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山东省文登第二中学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杜德春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济宁职业技术学院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郭庆虎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威海市文登第一中学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刘莹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山东省泰山学院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吕晓臣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山东省威海市文登区张家产中学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田德义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山东省鲁中中等专业学校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尹勇磊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威海市文登区泽库小学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威海市文登区实验小学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李强胜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山东省烟台市牟平区宁海中学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滨州医学院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闫俊良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山东省烟台市栖霞市翠屏中学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颜文博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济南市舜耕小学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李俊霖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山东农业大学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董方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济南大学泉城学院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李华伟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华北水利水电大学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袁率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郑州航空工业管理学院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楚明川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郑州大学附属中学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廉颇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郑州市回民中学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毛泳翰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华北水利水电大学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张兵兵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河南财经政法大学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冉鹏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郑州经济技术开发区实验小学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陈路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河南建筑职业技术学院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路鹏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郑州航空工业管理学院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韩录义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登封市徐庄镇中心小学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邢国平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河南建筑职业技术学院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贾小伟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济源第一中学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王鑫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马文波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河南财经大学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李耀桦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郑州大学附属中学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韩程爽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郑州财经学院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郑州财税金融职业技术学院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赵子鹏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黄河科技学院附属中学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杨海涛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漯河高中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陆海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河南师范大学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马婉春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河南工学院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乔智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樊磊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开封市鼓楼区教体局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洛阳十九中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田鑫光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信阳学院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黄洪山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信阳市羊山中学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湖北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陈柄旭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武汉市常青童梦幼儿园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陈大华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武汉市汉阳区德才小学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高莹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湖北省随州市曾都区北郊五眼桥小学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胡哲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监利县第一初级中学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黄靖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恩施州建始县长梁民族小学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黄培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湖北职业技术学院 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刘睿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中南民族大学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刘少斌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武汉枫叶学校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王文杰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湖北省天门实验高级中学 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魏娟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武汉光谷（国际）外国语学校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湖北省天门实验高级中学 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武昌首义学院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张松珍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湖北汽车工业学院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张义军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咸宁职业技术学院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武汉市育才高级中学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湖南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何鹏明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长沙高新区麓谷小学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华基程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长沙市实验中学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李玢慧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湖南中医药大学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李九龙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郴州职业技术学院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李世雄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湖南体育职业学院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招办科员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刘合光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宁乡市花明楼中学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刘巍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衡阳师范学院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柳征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娄星区杉山中学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孟宝盈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湖南交通职业技术学院 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谭鑫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湖南省大学生篮球协会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常务秘书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脱瀚智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吉首大学张家界学院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王波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衡阳师范学院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王文婧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湘南幼儿师范高等专科学校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吴英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湘潭县一中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张武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博才小学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邹昱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湖南工业大学 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柏盛强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佛山市三水区西南中学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王富友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肇庆市实验小学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吴敬宇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肇庆市端州中学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吴卓琛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航城学校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刘志彬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韶关学院医学院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骆政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韶关市张九龄纪念中学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钟思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肇庆医学高等专科学校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潘哲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肇庆医学高等专科学校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陈桂华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广州市番禺区实验中学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黄细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云浮市罗定泷州小学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何勇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兴宁市齐昌中学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李亮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广东司法警官职业学院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廖宇华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广州市育才中学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黄经纶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广东生态工程职业学院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陈飞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广州大学松田学院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马小盼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深圳湾学校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齐尚尚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广州华夏职业学院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曾明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广东第二师范学院番禺附属中学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罗源凯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广东理工学院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蔡义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顺德职业技术学院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陈亿龙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英德市东华镇鱼湾小学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李广南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广东省湛江市廉江市第一中学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周宇亮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广东体育职业技术学院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韦  晨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广西机电技师学院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卓  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柳州市柳江实验高中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韦柳飞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柳州市第八中学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付丽宁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广西工业技师学院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谢明培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贺州市贺州中学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黄永亮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靖西市靖西中学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廖  理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柳州市第二中学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赵佩君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钦州市第十三中学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  智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钦州市钦南区黄屋屯镇中心小学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  晴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南宁市桂雅路小学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董桂明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桂林市第十八中学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黄德锋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梧州市苍梧县旺甫镇合水初级中学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胡列孟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南宁市外国语学校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商乃文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柳州市第四十六中学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罗文冬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桂林荔浦市荔浦中学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邱宥翔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广西大学附属中学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李基柱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广西职业师范学院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刘俊鹏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南宁市第三中学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  阳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河池市河池高中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蒙治抗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桂林市清风实验学校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吴俊杰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广西科技大学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场馆中心主任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陈胜锐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柳州市第二中学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于海波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南宁市第二十九中学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王玉明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广西水利电力职业技术学院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熊  斌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广西师范大学附属外国语学校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郭彩琴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百色学院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程绍峰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广西大学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郑燊宇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广西大学行健文理学院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重庆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冯靖宇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重庆市松树桥中学校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曹洪杰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重庆工程职业技术学院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四川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焦汉生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四川信息职业技术学院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董江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南充高中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刘洋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遂宁绿然国际学校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张德君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泸州七中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段丹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泸县喻寺镇中心小学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李超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雅安中学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张贵琳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绵阳市先锋路小学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李倩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绵阳南山中学双语学院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程源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泸州市合江县初级中学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唐明虹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绵阳市警钟街小学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杨承霖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江油市长城实验学校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杨力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绵阳市富乐实验小学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杨益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泸州市黄舣镇中心小学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唐艺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四川工程职业技术学院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李召召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眉山药科职业学院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文琳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四川工商学院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李牮夫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自贡市红旗小学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何健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都江堰北街小学实验外国语学校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孙开军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岳池县伏龙小学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陈奇山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资阳市乐至中学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童俊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岳池县伏龙初级中学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唐菲璘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攀枝花炳草岗学校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朱梦云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天府新区正兴中学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伍嘉文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四川安岳县实验中学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张义成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四川旺苍东城中学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王定航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西华大学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江宇航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苏洵中学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 璐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宜宾东辰学校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蒋  颖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宜宾市叙州区黄岗学校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贵州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罗桂林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贵州安顺百川学校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云南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毕勇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姚安县教育体育局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陈晓亮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云南省楚雄第一中学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吕金华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南华县民族中学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孙剑林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楚雄彝族自治州教育体育局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唐磊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楚雄师范学院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张可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楚雄师范学院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葛小军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楚雄师范学院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孙毅然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昆明冶金高等专科学校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黄超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德宏职业学院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李立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西南林业大学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白红兵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云南省普洱市江城县第一中学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何雨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云南师范大学附属中学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周寿荣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曲靖市麒麟区第一中学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段朝旭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昌宁县大田坝初级中学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罗 飞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云南省保山市昌宁县第一示范小学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字 磊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云南省昌宁县第二中学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付春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保山市第六中学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杨保勇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辛街乡中心学校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马佳泽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云南师范大学文理学院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杨伟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德宏职业学院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体育部长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余志武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云南开放大学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宁致远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云南警官学院 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白鸿定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云南工程职业学院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朱红宇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云南财经大学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陕西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陈曦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陕西省宝鸡渭滨区宝电子校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程骧雪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西京学院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刁容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西安体育学院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付璐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陕西理工大学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贺嘉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陕西省西咸新区秦汉新城教育卫体局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贺臻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西安职业技术学院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胡宏馨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西安电子科技中学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靳晓迪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西安交通大学附属中学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刘秋雨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西安高新第一中学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田霖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西安体育学院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王雷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咸阳职业技术学院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薛峰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咸阳职业技术学院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张乐轩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西安职业技术学院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张龙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西安体育学院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张明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陕西中医药大学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张昕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陕西省宝鸡市陈仓区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甘肃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赵斌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甘肃省教育厅体卫艺处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雷智楠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兰州东方中学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马利超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兰州交通大学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赵静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庆阳市宁县二中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赵一泉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白银市会宁县东关小学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王佳麟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甘肃省临夏中学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王强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甘肃省定西市少年儿童体育学校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丁新麟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兰州市第六十中学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杨君民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兰州交通大学博文学院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张斌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平凉市庄浪县第一中学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崔玉乾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兰州交通大学博文学院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李元龙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甘肃省白银市景泰县胡麻水小学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田超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兰州市碧桂园学校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吴正升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甘肃兰州市城关区华侨实验学校碧桂园分校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杜鹏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甘肃兰州现代职业学院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胡小远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甘肃省临夏州积石山县扈家小学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宁夏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黄彬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宁夏银川市中关村小学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赵泽旭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宁夏银川市兴庆区月牙湖回民第二中学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高职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分会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文琳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四川工商学院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王雨晴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黑龙江八一农垦大学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曾猛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福建对外经济贸易职业技术学院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王长兴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北京京北职业技术学院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解赵辉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山西水利职业技术学院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袁文涛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北京京北职业技术学院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张树华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江西省赣州师范高等专科学校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篮球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分会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黄浩杰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河南工学院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崔自强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上海市南洋模范中学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褚占才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白城师范学院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58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东莞理工学院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4396A"/>
    <w:rsid w:val="000D0675"/>
    <w:rsid w:val="001548A1"/>
    <w:rsid w:val="00453610"/>
    <w:rsid w:val="00464D2D"/>
    <w:rsid w:val="005E7FDB"/>
    <w:rsid w:val="00730E94"/>
    <w:rsid w:val="00743760"/>
    <w:rsid w:val="007D3616"/>
    <w:rsid w:val="008260A9"/>
    <w:rsid w:val="00883C95"/>
    <w:rsid w:val="00F805EE"/>
    <w:rsid w:val="0F0D100E"/>
    <w:rsid w:val="129D2EA9"/>
    <w:rsid w:val="16B01BAC"/>
    <w:rsid w:val="1897137E"/>
    <w:rsid w:val="1E764745"/>
    <w:rsid w:val="230A3553"/>
    <w:rsid w:val="2BE46485"/>
    <w:rsid w:val="2E233451"/>
    <w:rsid w:val="2E9A4F08"/>
    <w:rsid w:val="36266319"/>
    <w:rsid w:val="447B6150"/>
    <w:rsid w:val="4B515385"/>
    <w:rsid w:val="569705B3"/>
    <w:rsid w:val="5889253C"/>
    <w:rsid w:val="6AC4396A"/>
    <w:rsid w:val="71D37081"/>
    <w:rsid w:val="75FA4C90"/>
    <w:rsid w:val="77252506"/>
    <w:rsid w:val="7F586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1333</Characters>
  <Lines>11</Lines>
  <Paragraphs>3</Paragraphs>
  <TotalTime>13</TotalTime>
  <ScaleCrop>false</ScaleCrop>
  <LinksUpToDate>false</LinksUpToDate>
  <CharactersWithSpaces>1563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2019-10-15T07:40:00Z</dcterms:created>
  <dc:creator>28208</dc:creator>
  <cp:lastModifiedBy>李臻</cp:lastModifiedBy>
  <cp:lastPrinted>2019-10-24T01:37:00Z</cp:lastPrinted>
  <dcterms:modified xsi:type="dcterms:W3CDTF">2019-10-24T01:44:36Z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