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w:t>
      </w:r>
    </w:p>
    <w:p>
      <w:pPr>
        <w:jc w:val="center"/>
        <w:rPr>
          <w:rFonts w:hint="eastAsia" w:ascii="黑体" w:hAnsi="黑体" w:eastAsia="黑体" w:cs="黑体"/>
          <w:color w:val="000000"/>
          <w:sz w:val="36"/>
          <w:szCs w:val="36"/>
        </w:rPr>
      </w:pPr>
      <w:r>
        <w:rPr>
          <w:rFonts w:hint="eastAsia" w:ascii="黑体" w:hAnsi="黑体" w:eastAsia="黑体" w:cs="黑体"/>
          <w:color w:val="000000"/>
          <w:sz w:val="36"/>
          <w:szCs w:val="36"/>
        </w:rPr>
        <w:t>中华人民共和国第十四届学生运动会</w:t>
      </w:r>
    </w:p>
    <w:p>
      <w:pPr>
        <w:jc w:val="center"/>
        <w:rPr>
          <w:rFonts w:hint="eastAsia" w:ascii="黑体" w:hAnsi="黑体" w:eastAsia="黑体" w:cs="黑体"/>
          <w:color w:val="000000"/>
          <w:sz w:val="36"/>
          <w:szCs w:val="36"/>
        </w:rPr>
      </w:pPr>
      <w:r>
        <w:rPr>
          <w:rFonts w:hint="eastAsia" w:ascii="黑体" w:hAnsi="黑体" w:eastAsia="黑体" w:cs="黑体"/>
          <w:color w:val="000000"/>
          <w:sz w:val="36"/>
          <w:szCs w:val="36"/>
        </w:rPr>
        <w:t>乒乓球预赛竞赛规程</w:t>
      </w:r>
    </w:p>
    <w:p>
      <w:pPr>
        <w:adjustRightInd w:val="0"/>
        <w:ind w:firstLine="682" w:firstLineChars="200"/>
        <w:jc w:val="center"/>
        <w:rPr>
          <w:rFonts w:ascii="仿宋" w:hAnsi="仿宋" w:eastAsia="仿宋"/>
          <w:b/>
          <w:bCs/>
          <w:spacing w:val="20"/>
          <w:sz w:val="30"/>
          <w:szCs w:val="30"/>
        </w:rPr>
      </w:pPr>
    </w:p>
    <w:p>
      <w:pPr>
        <w:numPr>
          <w:ilvl w:val="0"/>
          <w:numId w:val="1"/>
        </w:numPr>
        <w:adjustRightInd w:val="0"/>
        <w:ind w:firstLine="640" w:firstLineChars="200"/>
        <w:outlineLvl w:val="0"/>
        <w:rPr>
          <w:rFonts w:ascii="黑体" w:hAnsi="黑体" w:eastAsia="黑体" w:cs="黑体"/>
          <w:bCs/>
          <w:sz w:val="32"/>
          <w:szCs w:val="32"/>
        </w:rPr>
      </w:pPr>
      <w:r>
        <w:rPr>
          <w:rFonts w:hint="eastAsia" w:ascii="黑体" w:hAnsi="黑体" w:eastAsia="黑体" w:cs="黑体"/>
          <w:bCs/>
          <w:sz w:val="32"/>
          <w:szCs w:val="32"/>
          <w:lang w:val="en-US" w:eastAsia="zh-CN"/>
        </w:rPr>
        <w:t>竞赛</w:t>
      </w:r>
      <w:r>
        <w:rPr>
          <w:rFonts w:hint="eastAsia" w:ascii="黑体" w:hAnsi="黑体" w:eastAsia="黑体" w:cs="黑体"/>
          <w:bCs/>
          <w:sz w:val="32"/>
          <w:szCs w:val="32"/>
        </w:rPr>
        <w:t>日期、地点</w:t>
      </w:r>
    </w:p>
    <w:p>
      <w:pPr>
        <w:numPr>
          <w:ilvl w:val="0"/>
          <w:numId w:val="2"/>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大学组：拟定20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1月上旬</w:t>
      </w:r>
      <w:r>
        <w:rPr>
          <w:rFonts w:hint="eastAsia" w:ascii="仿宋_GB2312" w:hAnsi="仿宋_GB2312" w:eastAsia="仿宋_GB2312" w:cs="仿宋_GB2312"/>
          <w:sz w:val="32"/>
          <w:szCs w:val="32"/>
        </w:rPr>
        <w:t>（具体时间地点另行通知）。</w:t>
      </w:r>
    </w:p>
    <w:p>
      <w:pPr>
        <w:numPr>
          <w:ilvl w:val="0"/>
          <w:numId w:val="2"/>
        </w:numPr>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中学组：拟定2020年2月下旬（具体时间地点另行通知）。</w:t>
      </w:r>
    </w:p>
    <w:p>
      <w:pPr>
        <w:numPr>
          <w:ilvl w:val="0"/>
          <w:numId w:val="1"/>
        </w:numPr>
        <w:adjustRightInd w:val="0"/>
        <w:ind w:firstLine="640" w:firstLineChars="200"/>
        <w:outlineLvl w:val="0"/>
        <w:rPr>
          <w:rFonts w:ascii="黑体" w:hAnsi="黑体" w:eastAsia="黑体" w:cs="黑体"/>
          <w:bCs/>
          <w:sz w:val="32"/>
          <w:szCs w:val="32"/>
        </w:rPr>
      </w:pPr>
      <w:r>
        <w:rPr>
          <w:rFonts w:hint="eastAsia" w:ascii="黑体" w:hAnsi="黑体" w:eastAsia="黑体" w:cs="黑体"/>
          <w:bCs/>
          <w:sz w:val="32"/>
          <w:szCs w:val="32"/>
        </w:rPr>
        <w:t>竞赛项目及分组</w:t>
      </w:r>
    </w:p>
    <w:p>
      <w:pPr>
        <w:numPr>
          <w:ilvl w:val="0"/>
          <w:numId w:val="3"/>
        </w:numPr>
        <w:adjustRightInd w:val="0"/>
        <w:ind w:firstLine="640" w:firstLineChars="200"/>
        <w:rPr>
          <w:rFonts w:ascii="仿宋_GB2312" w:hAnsi="仿宋" w:eastAsia="仿宋_GB2312"/>
          <w:sz w:val="32"/>
          <w:szCs w:val="32"/>
        </w:rPr>
      </w:pPr>
      <w:r>
        <w:rPr>
          <w:rFonts w:hint="eastAsia" w:ascii="仿宋_GB2312" w:hAnsi="仿宋_GB2312" w:eastAsia="仿宋_GB2312" w:cs="仿宋_GB2312"/>
          <w:color w:val="000000"/>
          <w:sz w:val="32"/>
          <w:szCs w:val="32"/>
        </w:rPr>
        <w:t>竞赛项目：男子团体、女子团体、男子单打、女子单打、男子双打、女子双打、混合双打。</w:t>
      </w:r>
    </w:p>
    <w:p>
      <w:pPr>
        <w:numPr>
          <w:ilvl w:val="0"/>
          <w:numId w:val="3"/>
        </w:numPr>
        <w:adjustRightInd w:val="0"/>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分组：大学甲组、中学组</w:t>
      </w:r>
    </w:p>
    <w:p>
      <w:pPr>
        <w:numPr>
          <w:ilvl w:val="0"/>
          <w:numId w:val="1"/>
        </w:numPr>
        <w:adjustRightInd w:val="0"/>
        <w:ind w:firstLine="640" w:firstLineChars="200"/>
        <w:outlineLvl w:val="0"/>
        <w:rPr>
          <w:rFonts w:ascii="黑体" w:hAnsi="黑体" w:eastAsia="黑体" w:cs="黑体"/>
          <w:bCs/>
          <w:sz w:val="32"/>
          <w:szCs w:val="32"/>
        </w:rPr>
      </w:pPr>
      <w:r>
        <w:rPr>
          <w:rFonts w:hint="eastAsia" w:ascii="黑体" w:hAnsi="黑体" w:eastAsia="黑体" w:cs="黑体"/>
          <w:bCs/>
          <w:sz w:val="32"/>
          <w:szCs w:val="32"/>
        </w:rPr>
        <w:t>参加单位</w:t>
      </w:r>
    </w:p>
    <w:p>
      <w:pPr>
        <w:adjustRightInd w:val="0"/>
        <w:ind w:firstLine="640" w:firstLineChars="200"/>
        <w:rPr>
          <w:rFonts w:ascii="仿宋_GB2312" w:hAnsi="仿宋" w:eastAsia="仿宋_GB2312"/>
          <w:sz w:val="32"/>
          <w:szCs w:val="32"/>
        </w:rPr>
      </w:pPr>
      <w:r>
        <w:rPr>
          <w:rFonts w:hint="eastAsia" w:ascii="仿宋_GB2312" w:hAnsi="仿宋" w:eastAsia="仿宋_GB2312"/>
          <w:sz w:val="32"/>
          <w:szCs w:val="32"/>
        </w:rPr>
        <w:t>北京市、天津市、河北省、山西省、内蒙古自治区、辽宁省、吉林省、黑龙江省、上海市、江苏省、浙江省、安徽省、福建省、江西省、山东省、河南省、湖北省、湖南省、广东省、广西壮族自治区、海南省、重庆市、四川省、贵州省、云南省、西藏自治区、陕西省、甘肃省、青海省、宁夏回族自治区、新疆维吾尔自治区、香港特别行政区、澳门特别行政区、新疆生产建设兵团。</w:t>
      </w:r>
    </w:p>
    <w:p>
      <w:pPr>
        <w:numPr>
          <w:ilvl w:val="0"/>
          <w:numId w:val="1"/>
        </w:numPr>
        <w:adjustRightInd w:val="0"/>
        <w:ind w:firstLine="640" w:firstLineChars="200"/>
        <w:outlineLvl w:val="0"/>
        <w:rPr>
          <w:rFonts w:ascii="黑体" w:hAnsi="黑体" w:eastAsia="黑体" w:cs="黑体"/>
          <w:bCs/>
          <w:sz w:val="32"/>
          <w:szCs w:val="32"/>
        </w:rPr>
      </w:pPr>
      <w:r>
        <w:rPr>
          <w:rFonts w:hint="eastAsia" w:ascii="黑体" w:hAnsi="黑体" w:eastAsia="黑体" w:cs="黑体"/>
          <w:bCs/>
          <w:sz w:val="32"/>
          <w:szCs w:val="32"/>
        </w:rPr>
        <w:t>运动员资格</w:t>
      </w:r>
    </w:p>
    <w:p>
      <w:pPr>
        <w:ind w:firstLine="640" w:firstLineChars="200"/>
        <w:rPr>
          <w:rFonts w:eastAsia="楷体"/>
          <w:bCs/>
          <w:color w:val="000000"/>
          <w:sz w:val="32"/>
          <w:szCs w:val="32"/>
        </w:rPr>
      </w:pPr>
      <w:r>
        <w:rPr>
          <w:rFonts w:eastAsia="楷体"/>
          <w:bCs/>
          <w:color w:val="000000"/>
          <w:sz w:val="32"/>
          <w:szCs w:val="32"/>
        </w:rPr>
        <w:t>（一）基本条件</w:t>
      </w:r>
    </w:p>
    <w:p>
      <w:pPr>
        <w:ind w:firstLine="640" w:firstLineChars="200"/>
        <w:rPr>
          <w:rFonts w:eastAsia="仿宋_GB2312"/>
          <w:color w:val="000000"/>
          <w:sz w:val="32"/>
          <w:szCs w:val="32"/>
        </w:rPr>
      </w:pPr>
      <w:r>
        <w:rPr>
          <w:rFonts w:eastAsia="仿宋_GB2312"/>
          <w:color w:val="000000"/>
          <w:sz w:val="32"/>
          <w:szCs w:val="32"/>
        </w:rPr>
        <w:t>1.中华人民共和国公民。</w:t>
      </w:r>
    </w:p>
    <w:p>
      <w:pPr>
        <w:ind w:firstLine="640" w:firstLineChars="200"/>
        <w:rPr>
          <w:rFonts w:eastAsia="仿宋_GB2312"/>
          <w:b/>
          <w:color w:val="000000"/>
          <w:sz w:val="32"/>
          <w:szCs w:val="32"/>
        </w:rPr>
      </w:pPr>
      <w:r>
        <w:rPr>
          <w:rFonts w:eastAsia="仿宋_GB2312"/>
          <w:color w:val="000000"/>
          <w:sz w:val="32"/>
          <w:szCs w:val="32"/>
        </w:rPr>
        <w:t>2.报名时应具有所代表省（自治区、直辖市）的学校学籍的在校、在读的中学（含中等职业学校，但不包括技工学校、体育运动类专业学校）或普通高等学校学生。成人高等教育系列的学生不得报名。</w:t>
      </w:r>
    </w:p>
    <w:p>
      <w:pPr>
        <w:tabs>
          <w:tab w:val="left" w:pos="720"/>
        </w:tabs>
        <w:autoSpaceDE w:val="0"/>
        <w:autoSpaceDN w:val="0"/>
        <w:ind w:firstLine="640" w:firstLineChars="200"/>
        <w:rPr>
          <w:rFonts w:eastAsia="仿宋_GB2312"/>
          <w:color w:val="000000"/>
          <w:sz w:val="32"/>
          <w:szCs w:val="32"/>
        </w:rPr>
      </w:pPr>
      <w:r>
        <w:rPr>
          <w:rFonts w:eastAsia="仿宋_GB2312"/>
          <w:color w:val="000000"/>
          <w:sz w:val="32"/>
          <w:szCs w:val="32"/>
        </w:rPr>
        <w:t>3.遵守学生守则、运动员守则和有关反兴奋剂的管理规定。</w:t>
      </w:r>
    </w:p>
    <w:p>
      <w:pPr>
        <w:ind w:firstLine="640" w:firstLineChars="200"/>
        <w:rPr>
          <w:rFonts w:eastAsia="仿宋_GB2312"/>
          <w:color w:val="000000"/>
          <w:sz w:val="32"/>
          <w:szCs w:val="32"/>
        </w:rPr>
      </w:pPr>
      <w:r>
        <w:rPr>
          <w:rFonts w:eastAsia="仿宋_GB2312"/>
          <w:color w:val="000000"/>
          <w:sz w:val="32"/>
          <w:szCs w:val="32"/>
        </w:rPr>
        <w:t>4.经二级及二级以上医院检查，证明身体健康。</w:t>
      </w:r>
    </w:p>
    <w:p>
      <w:pPr>
        <w:ind w:firstLine="640" w:firstLineChars="200"/>
        <w:rPr>
          <w:rFonts w:eastAsia="楷体"/>
          <w:bCs/>
          <w:color w:val="000000"/>
          <w:sz w:val="32"/>
          <w:szCs w:val="32"/>
        </w:rPr>
      </w:pPr>
      <w:r>
        <w:rPr>
          <w:rFonts w:eastAsia="楷体"/>
          <w:bCs/>
          <w:color w:val="000000"/>
          <w:sz w:val="32"/>
          <w:szCs w:val="32"/>
        </w:rPr>
        <w:t>（二）特殊规定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_GB2312"/>
          <w:color w:val="000000"/>
          <w:sz w:val="32"/>
          <w:szCs w:val="32"/>
        </w:rPr>
      </w:pPr>
      <w:r>
        <w:rPr>
          <w:rFonts w:eastAsia="仿宋_GB2312"/>
          <w:color w:val="000000"/>
          <w:sz w:val="32"/>
          <w:szCs w:val="32"/>
        </w:rPr>
        <w:t>1.有关年龄要求。参加中学组的运动员年龄为2001年9月1日（含）以后出生者。参加大学甲组的运动员年龄为1991年9月1日至2001年8月31日间出生者。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_GB2312"/>
          <w:color w:val="000000"/>
          <w:sz w:val="32"/>
          <w:szCs w:val="32"/>
        </w:rPr>
      </w:pPr>
      <w:r>
        <w:rPr>
          <w:rFonts w:eastAsia="仿宋_GB2312"/>
          <w:color w:val="000000"/>
          <w:sz w:val="32"/>
          <w:szCs w:val="32"/>
        </w:rPr>
        <w:t>2.有关户籍规定。中学生参赛运动员的户籍不在代表省（自治区、直辖市）时，需由所代表省（自治区、直辖市）提供该运动员近3年在本地学校就读的学籍证明，并加盖省级教育行政主管部门的公章。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_GB2312"/>
          <w:color w:val="000000"/>
          <w:sz w:val="32"/>
          <w:szCs w:val="32"/>
        </w:rPr>
      </w:pPr>
      <w:r>
        <w:rPr>
          <w:rFonts w:eastAsia="仿宋_GB2312"/>
          <w:color w:val="000000"/>
          <w:sz w:val="32"/>
          <w:szCs w:val="32"/>
        </w:rPr>
        <w:t>3.有关限制性赛事要求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eastAsia="仿宋_GB2312"/>
          <w:color w:val="000000"/>
          <w:sz w:val="32"/>
          <w:szCs w:val="32"/>
        </w:rPr>
      </w:pPr>
      <w:r>
        <w:rPr>
          <w:rFonts w:eastAsia="仿宋_GB2312"/>
          <w:color w:val="000000"/>
          <w:sz w:val="32"/>
          <w:szCs w:val="32"/>
        </w:rPr>
        <w:t>（</w:t>
      </w:r>
      <w:r>
        <w:rPr>
          <w:rFonts w:hint="eastAsia" w:eastAsia="仿宋_GB2312"/>
          <w:color w:val="000000"/>
          <w:sz w:val="32"/>
          <w:szCs w:val="32"/>
        </w:rPr>
        <w:t>1</w:t>
      </w:r>
      <w:r>
        <w:rPr>
          <w:rFonts w:eastAsia="仿宋_GB2312"/>
          <w:color w:val="000000"/>
          <w:sz w:val="32"/>
          <w:szCs w:val="32"/>
        </w:rPr>
        <w:t>）凡在本届学运会闭幕前曾代表各省（自治区、直辖市）、职业俱乐部、行业体协（不含学生体协）、企业参加过</w:t>
      </w:r>
      <w:r>
        <w:rPr>
          <w:rFonts w:hint="eastAsia" w:eastAsia="仿宋_GB2312"/>
          <w:color w:val="000000"/>
          <w:sz w:val="32"/>
          <w:szCs w:val="32"/>
        </w:rPr>
        <w:t>以下赛事</w:t>
      </w:r>
      <w:r>
        <w:rPr>
          <w:rFonts w:eastAsia="仿宋_GB2312"/>
          <w:color w:val="000000"/>
          <w:sz w:val="32"/>
          <w:szCs w:val="32"/>
        </w:rPr>
        <w:t>(以上秩序册为准</w:t>
      </w:r>
      <w:r>
        <w:rPr>
          <w:rFonts w:hint="eastAsia" w:eastAsia="仿宋_GB2312"/>
          <w:color w:val="000000"/>
          <w:sz w:val="32"/>
          <w:szCs w:val="32"/>
        </w:rPr>
        <w:t>。赛事名称以2018年1月至2020年7月公布为准，若有变化将进行调整</w:t>
      </w:r>
      <w:r>
        <w:rPr>
          <w:rFonts w:eastAsia="仿宋_GB2312"/>
          <w:color w:val="000000"/>
          <w:sz w:val="32"/>
          <w:szCs w:val="32"/>
        </w:rPr>
        <w:t>)，不得报名参加中学组及大学甲组比赛。</w:t>
      </w:r>
    </w:p>
    <w:p>
      <w:pPr>
        <w:adjustRightInd w:val="0"/>
        <w:ind w:firstLine="640" w:firstLineChars="200"/>
        <w:rPr>
          <w:rFonts w:hint="eastAsia" w:eastAsia="仿宋_GB2312"/>
          <w:color w:val="000000"/>
          <w:sz w:val="32"/>
          <w:szCs w:val="32"/>
        </w:rPr>
      </w:pPr>
      <w:r>
        <w:rPr>
          <w:rFonts w:hint="eastAsia" w:eastAsia="仿宋_GB2312"/>
          <w:color w:val="000000"/>
          <w:sz w:val="32"/>
          <w:szCs w:val="32"/>
        </w:rPr>
        <w:t>①大学甲组：</w:t>
      </w:r>
      <w:r>
        <w:rPr>
          <w:rFonts w:eastAsia="仿宋_GB2312"/>
          <w:color w:val="000000"/>
          <w:sz w:val="32"/>
          <w:szCs w:val="32"/>
        </w:rPr>
        <w:t>中国乒乓球俱乐部超级联赛、中国乒乓球甲A联赛、全国青年乒乓球锦标赛、全国乒乓球锦标赛、参加其它国家和地区职业俱乐部所组织的职业比赛</w:t>
      </w:r>
      <w:r>
        <w:rPr>
          <w:rFonts w:hint="eastAsia" w:eastAsia="仿宋_GB2312"/>
          <w:color w:val="000000"/>
          <w:sz w:val="32"/>
          <w:szCs w:val="32"/>
        </w:rPr>
        <w:t>。</w:t>
      </w:r>
    </w:p>
    <w:p>
      <w:pPr>
        <w:adjustRightInd w:val="0"/>
        <w:ind w:firstLine="640" w:firstLineChars="200"/>
        <w:rPr>
          <w:rFonts w:eastAsia="仿宋_GB2312"/>
          <w:color w:val="000000"/>
          <w:sz w:val="32"/>
          <w:szCs w:val="32"/>
        </w:rPr>
      </w:pPr>
      <w:r>
        <w:rPr>
          <w:rFonts w:hint="eastAsia" w:eastAsia="仿宋_GB2312"/>
          <w:color w:val="000000"/>
          <w:sz w:val="32"/>
          <w:szCs w:val="32"/>
        </w:rPr>
        <w:t>②中学组：</w:t>
      </w:r>
      <w:r>
        <w:rPr>
          <w:rFonts w:eastAsia="仿宋_GB2312"/>
          <w:color w:val="000000"/>
          <w:sz w:val="32"/>
          <w:szCs w:val="32"/>
        </w:rPr>
        <w:t>中国乒乓球俱乐部超级联赛、中国乒乓球甲A联赛、中国乒乓球甲B联赛、全国青年乒乓球锦标赛、全国乒乓球锦标赛、参加其它国家和地区职业俱乐部所组织的职业比赛</w:t>
      </w:r>
      <w:r>
        <w:rPr>
          <w:rFonts w:hint="eastAsia" w:eastAsia="仿宋_GB2312"/>
          <w:color w:val="000000"/>
          <w:sz w:val="32"/>
          <w:szCs w:val="32"/>
        </w:rPr>
        <w:t>。</w:t>
      </w:r>
    </w:p>
    <w:p>
      <w:pPr>
        <w:ind w:firstLine="627" w:firstLineChars="196"/>
        <w:rPr>
          <w:rFonts w:eastAsia="仿宋_GB2312"/>
          <w:color w:val="000000"/>
          <w:sz w:val="32"/>
          <w:szCs w:val="32"/>
        </w:rPr>
      </w:pPr>
      <w:r>
        <w:rPr>
          <w:rFonts w:eastAsia="仿宋_GB2312"/>
          <w:color w:val="000000"/>
          <w:sz w:val="32"/>
          <w:szCs w:val="32"/>
        </w:rPr>
        <w:t>（2）参加中学组的运动员在中学阶段以学籍所在学校名义参加限制性赛事可报名参加比赛。</w:t>
      </w:r>
    </w:p>
    <w:p>
      <w:pPr>
        <w:ind w:firstLine="627" w:firstLineChars="196"/>
        <w:rPr>
          <w:rFonts w:eastAsia="仿宋_GB2312"/>
          <w:color w:val="000000"/>
          <w:sz w:val="32"/>
          <w:szCs w:val="32"/>
        </w:rPr>
      </w:pPr>
      <w:r>
        <w:rPr>
          <w:rFonts w:eastAsia="仿宋_GB2312"/>
          <w:color w:val="000000"/>
          <w:sz w:val="32"/>
          <w:szCs w:val="32"/>
        </w:rPr>
        <w:t>（3）参加大学甲组的运动员在入大学前以学籍所在学校名义参加过限制性赛事或入大学后参加限制性赛事可报名参加比赛。</w:t>
      </w:r>
    </w:p>
    <w:p>
      <w:pPr>
        <w:numPr>
          <w:ilvl w:val="0"/>
          <w:numId w:val="1"/>
        </w:numPr>
        <w:adjustRightInd w:val="0"/>
        <w:ind w:firstLine="640" w:firstLineChars="200"/>
        <w:outlineLvl w:val="0"/>
        <w:rPr>
          <w:rFonts w:hint="eastAsia" w:ascii="黑体" w:hAnsi="黑体" w:eastAsia="黑体" w:cs="黑体"/>
          <w:bCs/>
          <w:sz w:val="32"/>
          <w:szCs w:val="32"/>
        </w:rPr>
      </w:pPr>
      <w:r>
        <w:rPr>
          <w:rFonts w:hint="eastAsia" w:ascii="黑体" w:hAnsi="黑体" w:eastAsia="黑体" w:cs="黑体"/>
          <w:bCs/>
          <w:sz w:val="32"/>
          <w:szCs w:val="32"/>
        </w:rPr>
        <w:t>参加办法</w:t>
      </w:r>
    </w:p>
    <w:p>
      <w:pPr>
        <w:numPr>
          <w:ilvl w:val="0"/>
          <w:numId w:val="4"/>
        </w:numPr>
        <w:spacing w:line="360" w:lineRule="auto"/>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山东省需按规定参加乒乓球项目预赛。</w:t>
      </w:r>
    </w:p>
    <w:p>
      <w:pPr>
        <w:numPr>
          <w:ilvl w:val="0"/>
          <w:numId w:val="4"/>
        </w:numPr>
        <w:spacing w:line="360" w:lineRule="auto"/>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预赛获得比赛前16名的运动队（员），获得参加决赛阶段比赛资格。</w:t>
      </w:r>
    </w:p>
    <w:p>
      <w:pPr>
        <w:numPr>
          <w:ilvl w:val="0"/>
          <w:numId w:val="4"/>
        </w:numPr>
        <w:tabs>
          <w:tab w:val="left" w:pos="720"/>
        </w:tabs>
        <w:autoSpaceDE w:val="0"/>
        <w:autoSpaceDN w:val="0"/>
        <w:spacing w:line="360" w:lineRule="auto"/>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每队可报领队1人，教练员2人，男、女运动员各5人。</w:t>
      </w:r>
    </w:p>
    <w:p>
      <w:pPr>
        <w:numPr>
          <w:ilvl w:val="0"/>
          <w:numId w:val="4"/>
        </w:numPr>
        <w:tabs>
          <w:tab w:val="left" w:pos="720"/>
        </w:tabs>
        <w:autoSpaceDE w:val="0"/>
        <w:autoSpaceDN w:val="0"/>
        <w:spacing w:line="360" w:lineRule="auto"/>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每队可报男（女）子双打、混合双打项目运动员各2对，单打项目可报4名运动员。</w:t>
      </w:r>
    </w:p>
    <w:p>
      <w:pPr>
        <w:numPr>
          <w:ilvl w:val="0"/>
          <w:numId w:val="4"/>
        </w:numPr>
        <w:tabs>
          <w:tab w:val="left" w:pos="720"/>
        </w:tabs>
        <w:autoSpaceDE w:val="0"/>
        <w:autoSpaceDN w:val="0"/>
        <w:spacing w:line="360" w:lineRule="auto"/>
        <w:ind w:left="0" w:leftChars="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运动员可兼报团体和单项比赛。</w:t>
      </w:r>
    </w:p>
    <w:p>
      <w:pPr>
        <w:numPr>
          <w:ilvl w:val="0"/>
          <w:numId w:val="1"/>
        </w:numPr>
        <w:adjustRightInd w:val="0"/>
        <w:ind w:firstLine="640" w:firstLineChars="200"/>
        <w:outlineLvl w:val="0"/>
        <w:rPr>
          <w:rFonts w:ascii="黑体" w:hAnsi="黑体" w:eastAsia="黑体" w:cs="黑体"/>
          <w:bCs/>
          <w:sz w:val="32"/>
          <w:szCs w:val="32"/>
        </w:rPr>
      </w:pPr>
      <w:r>
        <w:rPr>
          <w:rFonts w:hint="eastAsia" w:ascii="黑体" w:hAnsi="黑体" w:eastAsia="黑体" w:cs="黑体"/>
          <w:bCs/>
          <w:sz w:val="32"/>
          <w:szCs w:val="32"/>
        </w:rPr>
        <w:t>竞赛办法</w:t>
      </w:r>
    </w:p>
    <w:p>
      <w:pPr>
        <w:numPr>
          <w:ilvl w:val="0"/>
          <w:numId w:val="5"/>
        </w:numPr>
        <w:adjustRightInd w:val="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团体比赛</w:t>
      </w:r>
    </w:p>
    <w:p>
      <w:pPr>
        <w:numPr>
          <w:ilvl w:val="0"/>
          <w:numId w:val="6"/>
        </w:numPr>
        <w:adjustRightInd w:val="0"/>
        <w:ind w:firstLine="640" w:firstLineChars="200"/>
        <w:rPr>
          <w:rFonts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男、女团体赛根据实际报名情况进行分组比赛办法，16支队伍将取得决赛参赛资格。</w:t>
      </w:r>
    </w:p>
    <w:p>
      <w:pPr>
        <w:numPr>
          <w:ilvl w:val="0"/>
          <w:numId w:val="6"/>
        </w:numPr>
        <w:adjustRightInd w:val="0"/>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男、女团体赛均采用斯韦思林杯赛制，比赛次序为：</w:t>
      </w:r>
    </w:p>
    <w:p>
      <w:pPr>
        <w:keepNext w:val="0"/>
        <w:keepLines w:val="0"/>
        <w:pageBreakBefore w:val="0"/>
        <w:widowControl w:val="0"/>
        <w:kinsoku/>
        <w:wordWrap/>
        <w:overflowPunct/>
        <w:topLinePunct w:val="0"/>
        <w:autoSpaceDE/>
        <w:autoSpaceDN/>
        <w:bidi w:val="0"/>
        <w:adjustRightInd w:val="0"/>
        <w:snapToGrid/>
        <w:ind w:firstLine="640" w:firstLineChars="20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A——X</w:t>
      </w:r>
    </w:p>
    <w:p>
      <w:pPr>
        <w:keepNext w:val="0"/>
        <w:keepLines w:val="0"/>
        <w:pageBreakBefore w:val="0"/>
        <w:widowControl w:val="0"/>
        <w:kinsoku/>
        <w:wordWrap/>
        <w:overflowPunct/>
        <w:topLinePunct w:val="0"/>
        <w:autoSpaceDE/>
        <w:autoSpaceDN/>
        <w:bidi w:val="0"/>
        <w:adjustRightInd w:val="0"/>
        <w:snapToGrid/>
        <w:ind w:firstLine="640" w:firstLineChars="20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B——Y</w:t>
      </w:r>
    </w:p>
    <w:p>
      <w:pPr>
        <w:keepNext w:val="0"/>
        <w:keepLines w:val="0"/>
        <w:pageBreakBefore w:val="0"/>
        <w:widowControl w:val="0"/>
        <w:kinsoku/>
        <w:wordWrap/>
        <w:overflowPunct/>
        <w:topLinePunct w:val="0"/>
        <w:autoSpaceDE/>
        <w:autoSpaceDN/>
        <w:bidi w:val="0"/>
        <w:adjustRightInd w:val="0"/>
        <w:snapToGrid/>
        <w:ind w:firstLine="640" w:firstLineChars="200"/>
        <w:jc w:val="center"/>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C——Z</w:t>
      </w:r>
    </w:p>
    <w:p>
      <w:pPr>
        <w:keepNext w:val="0"/>
        <w:keepLines w:val="0"/>
        <w:pageBreakBefore w:val="0"/>
        <w:widowControl w:val="0"/>
        <w:kinsoku/>
        <w:wordWrap/>
        <w:overflowPunct/>
        <w:topLinePunct w:val="0"/>
        <w:autoSpaceDE/>
        <w:autoSpaceDN/>
        <w:bidi w:val="0"/>
        <w:adjustRightInd w:val="0"/>
        <w:snapToGrid/>
        <w:ind w:firstLine="640" w:firstLineChars="200"/>
        <w:jc w:val="center"/>
        <w:textAlignment w:val="auto"/>
        <w:outlineLvl w:val="9"/>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A——Y</w:t>
      </w:r>
    </w:p>
    <w:p>
      <w:pPr>
        <w:keepNext w:val="0"/>
        <w:keepLines w:val="0"/>
        <w:pageBreakBefore w:val="0"/>
        <w:widowControl w:val="0"/>
        <w:kinsoku/>
        <w:wordWrap/>
        <w:overflowPunct/>
        <w:topLinePunct w:val="0"/>
        <w:autoSpaceDE/>
        <w:autoSpaceDN/>
        <w:bidi w:val="0"/>
        <w:adjustRightInd w:val="0"/>
        <w:snapToGrid/>
        <w:ind w:firstLine="640" w:firstLineChars="200"/>
        <w:jc w:val="center"/>
        <w:textAlignment w:val="auto"/>
        <w:outlineLvl w:val="9"/>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B——X</w:t>
      </w:r>
    </w:p>
    <w:p>
      <w:pPr>
        <w:keepNext w:val="0"/>
        <w:keepLines w:val="0"/>
        <w:pageBreakBefore w:val="0"/>
        <w:widowControl w:val="0"/>
        <w:numPr>
          <w:ilvl w:val="0"/>
          <w:numId w:val="6"/>
        </w:numPr>
        <w:kinsoku/>
        <w:wordWrap/>
        <w:overflowPunct/>
        <w:topLinePunct w:val="0"/>
        <w:autoSpaceDE/>
        <w:autoSpaceDN/>
        <w:bidi w:val="0"/>
        <w:adjustRightInd w:val="0"/>
        <w:snapToGrid/>
        <w:ind w:firstLine="640" w:firstLineChars="200"/>
        <w:textAlignment w:val="auto"/>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团体比赛采用5场3胜</w:t>
      </w:r>
      <w:r>
        <w:rPr>
          <w:rFonts w:hint="eastAsia" w:ascii="华文仿宋" w:hAnsi="华文仿宋" w:eastAsia="华文仿宋"/>
          <w:sz w:val="32"/>
          <w:szCs w:val="32"/>
        </w:rPr>
        <w:t>制</w:t>
      </w:r>
      <w:r>
        <w:rPr>
          <w:rFonts w:hint="eastAsia" w:ascii="仿宋_GB2312" w:hAnsi="仿宋_GB2312" w:eastAsia="仿宋_GB2312" w:cs="仿宋_GB2312"/>
          <w:sz w:val="32"/>
          <w:szCs w:val="32"/>
          <w:lang w:val="zh-CN"/>
        </w:rPr>
        <w:t>、每场</w:t>
      </w:r>
      <w:r>
        <w:rPr>
          <w:rFonts w:hint="eastAsia" w:ascii="华文仿宋" w:hAnsi="华文仿宋" w:eastAsia="华文仿宋"/>
          <w:sz w:val="32"/>
          <w:szCs w:val="32"/>
        </w:rPr>
        <w:t>比赛</w:t>
      </w:r>
      <w:r>
        <w:rPr>
          <w:rFonts w:hint="eastAsia" w:ascii="仿宋_GB2312" w:hAnsi="仿宋_GB2312" w:eastAsia="仿宋_GB2312" w:cs="仿宋_GB2312"/>
          <w:sz w:val="32"/>
          <w:szCs w:val="32"/>
          <w:lang w:val="zh-CN"/>
        </w:rPr>
        <w:t>5局3胜</w:t>
      </w:r>
      <w:r>
        <w:rPr>
          <w:rFonts w:hint="eastAsia" w:ascii="华文仿宋" w:hAnsi="华文仿宋" w:eastAsia="华文仿宋"/>
          <w:sz w:val="32"/>
          <w:szCs w:val="32"/>
        </w:rPr>
        <w:t>制</w:t>
      </w:r>
      <w:r>
        <w:rPr>
          <w:rFonts w:hint="eastAsia" w:ascii="仿宋_GB2312" w:hAnsi="仿宋_GB2312" w:eastAsia="仿宋_GB2312" w:cs="仿宋_GB2312"/>
          <w:sz w:val="32"/>
          <w:szCs w:val="32"/>
          <w:lang w:val="zh-CN"/>
        </w:rPr>
        <w:t>，</w:t>
      </w:r>
      <w:r>
        <w:rPr>
          <w:rFonts w:hint="eastAsia" w:ascii="华文仿宋" w:hAnsi="华文仿宋" w:eastAsia="华文仿宋"/>
          <w:sz w:val="32"/>
          <w:szCs w:val="32"/>
        </w:rPr>
        <w:t>每局比赛11分制</w:t>
      </w:r>
      <w:r>
        <w:rPr>
          <w:rFonts w:hint="eastAsia" w:ascii="仿宋_GB2312" w:hAnsi="仿宋_GB2312" w:eastAsia="仿宋_GB2312" w:cs="仿宋_GB2312"/>
          <w:sz w:val="32"/>
          <w:szCs w:val="32"/>
          <w:lang w:val="zh-CN"/>
        </w:rPr>
        <w:t>。</w:t>
      </w:r>
    </w:p>
    <w:p>
      <w:pPr>
        <w:keepNext w:val="0"/>
        <w:keepLines w:val="0"/>
        <w:pageBreakBefore w:val="0"/>
        <w:widowControl w:val="0"/>
        <w:numPr>
          <w:ilvl w:val="0"/>
          <w:numId w:val="5"/>
        </w:numPr>
        <w:kinsoku/>
        <w:wordWrap/>
        <w:overflowPunct/>
        <w:topLinePunct w:val="0"/>
        <w:autoSpaceDE/>
        <w:autoSpaceDN/>
        <w:bidi w:val="0"/>
        <w:adjustRightInd w:val="0"/>
        <w:snapToGrid/>
        <w:ind w:firstLine="640" w:firstLineChars="200"/>
        <w:textAlignment w:val="auto"/>
        <w:rPr>
          <w:rFonts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单项比赛</w:t>
      </w:r>
    </w:p>
    <w:p>
      <w:pPr>
        <w:keepNext w:val="0"/>
        <w:keepLines w:val="0"/>
        <w:pageBreakBefore w:val="0"/>
        <w:widowControl w:val="0"/>
        <w:numPr>
          <w:ilvl w:val="0"/>
          <w:numId w:val="7"/>
        </w:numPr>
        <w:kinsoku/>
        <w:wordWrap/>
        <w:overflowPunct/>
        <w:topLinePunct w:val="0"/>
        <w:autoSpaceDE/>
        <w:autoSpaceDN/>
        <w:bidi w:val="0"/>
        <w:snapToGrid/>
        <w:ind w:left="0" w:leftChars="0" w:firstLine="640" w:firstLineChars="200"/>
        <w:textAlignment w:val="auto"/>
        <w:rPr>
          <w:rFonts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单打比赛分两个阶段进行，先分组循环赛，后淘汰赛增加附加赛，决出1-32名，前16</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highlight w:val="none"/>
          <w:lang w:val="zh-CN"/>
        </w:rPr>
        <w:t>可获得决赛参赛资格。若有弃权，则依次按名次替补。</w:t>
      </w:r>
    </w:p>
    <w:p>
      <w:pPr>
        <w:keepNext w:val="0"/>
        <w:keepLines w:val="0"/>
        <w:pageBreakBefore w:val="0"/>
        <w:widowControl w:val="0"/>
        <w:numPr>
          <w:ilvl w:val="0"/>
          <w:numId w:val="7"/>
        </w:numPr>
        <w:kinsoku/>
        <w:wordWrap/>
        <w:overflowPunct/>
        <w:topLinePunct w:val="0"/>
        <w:autoSpaceDE/>
        <w:autoSpaceDN/>
        <w:bidi w:val="0"/>
        <w:adjustRightInd w:val="0"/>
        <w:snapToGrid/>
        <w:ind w:left="0" w:leftChars="0" w:firstLine="640" w:firstLineChars="200"/>
        <w:textAlignment w:val="auto"/>
        <w:rPr>
          <w:rFonts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en-US" w:eastAsia="zh-CN"/>
        </w:rPr>
        <w:t>男、女</w:t>
      </w:r>
      <w:r>
        <w:rPr>
          <w:rFonts w:hint="eastAsia" w:ascii="仿宋_GB2312" w:hAnsi="仿宋_GB2312" w:eastAsia="仿宋_GB2312" w:cs="仿宋_GB2312"/>
          <w:sz w:val="32"/>
          <w:szCs w:val="32"/>
          <w:highlight w:val="none"/>
          <w:lang w:val="zh-CN"/>
        </w:rPr>
        <w:t>双打比赛和混合双打比赛采取单淘汰制增加附加赛，决出1-32名，前16</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highlight w:val="none"/>
          <w:lang w:val="zh-CN"/>
        </w:rPr>
        <w:t>可获得决赛参赛资格，若有弃权，则依次按名次替补。必须原配对才有资格参加决赛。</w:t>
      </w:r>
    </w:p>
    <w:p>
      <w:pPr>
        <w:keepNext w:val="0"/>
        <w:keepLines w:val="0"/>
        <w:pageBreakBefore w:val="0"/>
        <w:widowControl w:val="0"/>
        <w:numPr>
          <w:ilvl w:val="0"/>
          <w:numId w:val="7"/>
        </w:numPr>
        <w:kinsoku/>
        <w:wordWrap/>
        <w:overflowPunct/>
        <w:topLinePunct w:val="0"/>
        <w:autoSpaceDE/>
        <w:autoSpaceDN/>
        <w:bidi w:val="0"/>
        <w:adjustRightInd w:val="0"/>
        <w:snapToGrid/>
        <w:ind w:left="0" w:leftChars="0" w:firstLine="640" w:firstLineChars="200"/>
        <w:textAlignment w:val="auto"/>
        <w:rPr>
          <w:rFonts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lang w:val="zh-CN"/>
        </w:rPr>
        <w:t>所有单项比赛均采用5局3胜制，</w:t>
      </w:r>
      <w:r>
        <w:rPr>
          <w:rFonts w:hint="eastAsia" w:ascii="华文仿宋" w:hAnsi="华文仿宋" w:eastAsia="华文仿宋"/>
          <w:sz w:val="32"/>
          <w:szCs w:val="32"/>
          <w:highlight w:val="none"/>
        </w:rPr>
        <w:t>每局比赛11分制</w:t>
      </w:r>
      <w:r>
        <w:rPr>
          <w:rFonts w:hint="eastAsia" w:ascii="仿宋_GB2312" w:hAnsi="仿宋_GB2312" w:eastAsia="仿宋_GB2312" w:cs="仿宋_GB2312"/>
          <w:sz w:val="32"/>
          <w:szCs w:val="32"/>
          <w:highlight w:val="none"/>
          <w:lang w:val="zh-CN"/>
        </w:rPr>
        <w:t>。</w:t>
      </w:r>
    </w:p>
    <w:p>
      <w:pPr>
        <w:numPr>
          <w:ilvl w:val="0"/>
          <w:numId w:val="5"/>
        </w:numPr>
        <w:adjustRightInd w:val="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采用中国乒乓球协会最新审定的《乒乓球竞赛规则》。</w:t>
      </w:r>
    </w:p>
    <w:p>
      <w:pPr>
        <w:numPr>
          <w:ilvl w:val="0"/>
          <w:numId w:val="5"/>
        </w:numPr>
        <w:adjustRightInd w:val="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比赛</w:t>
      </w:r>
      <w:r>
        <w:rPr>
          <w:rFonts w:hint="eastAsia" w:ascii="仿宋_GB2312" w:hAnsi="仿宋_GB2312" w:eastAsia="仿宋_GB2312" w:cs="仿宋_GB2312"/>
          <w:sz w:val="32"/>
          <w:szCs w:val="32"/>
        </w:rPr>
        <w:t>用球另行通知</w:t>
      </w:r>
      <w:r>
        <w:rPr>
          <w:rFonts w:hint="eastAsia" w:ascii="仿宋_GB2312" w:hAnsi="仿宋_GB2312" w:eastAsia="仿宋_GB2312" w:cs="仿宋_GB2312"/>
          <w:sz w:val="32"/>
          <w:szCs w:val="32"/>
          <w:lang w:val="zh-CN"/>
        </w:rPr>
        <w:t>。（参赛运动员穿着的比赛服装不要与比赛用球颜色一致或类似，应配备深色和浅色比赛服）。</w:t>
      </w:r>
    </w:p>
    <w:p>
      <w:pPr>
        <w:numPr>
          <w:ilvl w:val="0"/>
          <w:numId w:val="5"/>
        </w:numPr>
        <w:adjustRightInd w:val="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团体种子的确定以上一届运动会团体名次为依据；单项种子首先依据上一届运动会单项成绩确定，其次参考最近一次全国大学生锦标赛单项名次。</w:t>
      </w:r>
    </w:p>
    <w:p>
      <w:pPr>
        <w:numPr>
          <w:ilvl w:val="0"/>
          <w:numId w:val="5"/>
        </w:numPr>
        <w:adjustRightInd w:val="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比赛期间将对运动员的球拍进行检测。</w:t>
      </w:r>
    </w:p>
    <w:p>
      <w:pPr>
        <w:numPr>
          <w:ilvl w:val="0"/>
          <w:numId w:val="1"/>
        </w:numPr>
        <w:adjustRightInd w:val="0"/>
        <w:ind w:firstLine="640" w:firstLineChars="200"/>
        <w:outlineLvl w:val="0"/>
        <w:rPr>
          <w:rFonts w:ascii="黑体" w:hAnsi="黑体" w:eastAsia="黑体" w:cs="黑体"/>
          <w:bCs/>
          <w:sz w:val="32"/>
          <w:szCs w:val="32"/>
        </w:rPr>
      </w:pPr>
      <w:r>
        <w:rPr>
          <w:rFonts w:hint="eastAsia" w:ascii="黑体" w:hAnsi="黑体" w:eastAsia="黑体" w:cs="黑体"/>
          <w:bCs/>
          <w:sz w:val="32"/>
          <w:szCs w:val="32"/>
        </w:rPr>
        <w:t>报名和</w:t>
      </w:r>
      <w:r>
        <w:rPr>
          <w:rFonts w:hint="eastAsia" w:ascii="黑体" w:hAnsi="黑体" w:eastAsia="黑体" w:cs="黑体"/>
          <w:bCs/>
          <w:sz w:val="32"/>
          <w:szCs w:val="32"/>
          <w:highlight w:val="none"/>
        </w:rPr>
        <w:t>报到</w:t>
      </w:r>
    </w:p>
    <w:p>
      <w:pPr>
        <w:keepNext w:val="0"/>
        <w:keepLines w:val="0"/>
        <w:pageBreakBefore w:val="0"/>
        <w:widowControl w:val="0"/>
        <w:numPr>
          <w:ilvl w:val="0"/>
          <w:numId w:val="8"/>
        </w:numPr>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报名</w:t>
      </w:r>
    </w:p>
    <w:p>
      <w:pPr>
        <w:keepNext w:val="0"/>
        <w:keepLines w:val="0"/>
        <w:pageBreakBefore w:val="0"/>
        <w:widowControl w:val="0"/>
        <w:numPr>
          <w:ilvl w:val="0"/>
          <w:numId w:val="9"/>
        </w:numPr>
        <w:kinsoku/>
        <w:wordWrap/>
        <w:overflowPunct/>
        <w:topLinePunct w:val="0"/>
        <w:autoSpaceDE/>
        <w:autoSpaceDN/>
        <w:bidi w:val="0"/>
        <w:adjustRightInd/>
        <w:snapToGrid/>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lang w:val="en-US" w:eastAsia="zh-CN"/>
        </w:rPr>
        <w:t>2019年12月10日前，填写指定报名表（见附件1）完成报名。</w:t>
      </w:r>
      <w:r>
        <w:rPr>
          <w:rFonts w:hint="eastAsia" w:ascii="仿宋_GB2312" w:hAnsi="仿宋_GB2312" w:eastAsia="仿宋_GB2312" w:cs="仿宋_GB2312"/>
          <w:color w:val="000000"/>
          <w:sz w:val="32"/>
          <w:szCs w:val="32"/>
        </w:rPr>
        <w:t>报名表邮寄或传真至中国大学生体育协会（</w:t>
      </w:r>
      <w:r>
        <w:rPr>
          <w:rFonts w:hint="eastAsia" w:ascii="仿宋_GB2312" w:hAnsi="仿宋_GB2312" w:eastAsia="仿宋_GB2312" w:cs="仿宋_GB2312"/>
          <w:color w:val="000000"/>
          <w:sz w:val="32"/>
          <w:szCs w:val="32"/>
          <w:lang w:val="en-US" w:eastAsia="zh-CN"/>
        </w:rPr>
        <w:t>地址：</w:t>
      </w:r>
      <w:r>
        <w:rPr>
          <w:rFonts w:hint="eastAsia" w:ascii="仿宋_GB2312" w:hAnsi="仿宋_GB2312" w:eastAsia="仿宋_GB2312" w:cs="仿宋_GB2312"/>
          <w:color w:val="000000"/>
          <w:sz w:val="32"/>
          <w:szCs w:val="32"/>
        </w:rPr>
        <w:t>北京市顺义区空港工业区B区裕华路融慧园33-2</w:t>
      </w:r>
      <w:r>
        <w:rPr>
          <w:rFonts w:hint="eastAsia" w:ascii="仿宋_GB2312" w:hAnsi="仿宋_GB2312" w:eastAsia="仿宋_GB2312" w:cs="仿宋_GB2312"/>
          <w:color w:val="000000"/>
          <w:sz w:val="32"/>
          <w:szCs w:val="32"/>
          <w:lang w:val="en-US" w:eastAsia="zh-CN"/>
        </w:rPr>
        <w:t>号</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联系电话：</w:t>
      </w:r>
      <w:r>
        <w:rPr>
          <w:rFonts w:hint="eastAsia" w:ascii="仿宋_GB2312" w:hAnsi="仿宋_GB2312" w:eastAsia="仿宋_GB2312" w:cs="仿宋_GB2312"/>
          <w:color w:val="000000"/>
          <w:sz w:val="32"/>
          <w:szCs w:val="32"/>
        </w:rPr>
        <w:t>010-66093777，</w:t>
      </w:r>
      <w:bookmarkStart w:id="0" w:name="_GoBack"/>
      <w:bookmarkEnd w:id="0"/>
      <w:r>
        <w:rPr>
          <w:rFonts w:hint="eastAsia" w:ascii="仿宋_GB2312" w:hAnsi="仿宋_GB2312" w:eastAsia="仿宋_GB2312" w:cs="仿宋_GB2312"/>
          <w:color w:val="000000"/>
          <w:sz w:val="32"/>
          <w:szCs w:val="32"/>
        </w:rPr>
        <w:t>于洪越</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收</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。同时分别发送电子版报名表至yhy@fusc.org.cn和</w:t>
      </w:r>
      <w:r>
        <w:rPr>
          <w:rStyle w:val="12"/>
          <w:rFonts w:hint="eastAsia" w:ascii="仿宋_GB2312" w:hAnsi="仿宋_GB2312" w:eastAsia="仿宋_GB2312" w:cs="仿宋_GB2312"/>
          <w:sz w:val="32"/>
          <w:szCs w:val="32"/>
        </w:rPr>
        <w:t>tylwk@ecust.edu.cn。</w:t>
      </w:r>
    </w:p>
    <w:p>
      <w:pPr>
        <w:keepNext w:val="0"/>
        <w:keepLines w:val="0"/>
        <w:pageBreakBefore w:val="0"/>
        <w:widowControl w:val="0"/>
        <w:numPr>
          <w:ilvl w:val="0"/>
          <w:numId w:val="9"/>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lang w:val="en-US" w:eastAsia="zh-CN"/>
        </w:rPr>
        <w:t>所有参赛运动员必须在《中国学生体育信息服务系统》（www.nssc.org.cn）中进行网上注册，否则不得报名。香港、澳门参赛运动员不受此限。注册办法如下：</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注册工作由参赛运动员所在学校的学校系统管理员登录《中国学生体育信息服务系统》（www.nssc.org.cn）进行运动员和教练员网上注册。</w:t>
      </w:r>
      <w:r>
        <w:rPr>
          <w:rFonts w:hint="eastAsia" w:ascii="Times New Roman" w:hAnsi="Times New Roman" w:eastAsia="仿宋_GB2312" w:cs="Times New Roman"/>
          <w:sz w:val="32"/>
          <w:szCs w:val="32"/>
        </w:rPr>
        <w:t>若</w:t>
      </w:r>
      <w:r>
        <w:rPr>
          <w:rFonts w:ascii="Times New Roman" w:hAnsi="Times New Roman" w:eastAsia="仿宋_GB2312" w:cs="Times New Roman"/>
          <w:sz w:val="32"/>
          <w:szCs w:val="32"/>
        </w:rPr>
        <w:t>学校未加入</w:t>
      </w:r>
      <w:r>
        <w:rPr>
          <w:rFonts w:hint="eastAsia" w:ascii="Times New Roman" w:hAnsi="Times New Roman" w:eastAsia="仿宋_GB2312" w:cs="Times New Roman"/>
          <w:sz w:val="32"/>
          <w:szCs w:val="32"/>
        </w:rPr>
        <w:t>中国</w:t>
      </w:r>
      <w:r>
        <w:rPr>
          <w:rFonts w:ascii="Times New Roman" w:hAnsi="Times New Roman" w:eastAsia="仿宋_GB2312" w:cs="Times New Roman"/>
          <w:sz w:val="32"/>
          <w:szCs w:val="32"/>
        </w:rPr>
        <w:t>大</w:t>
      </w:r>
      <w:r>
        <w:rPr>
          <w:rFonts w:hint="eastAsia" w:ascii="Times New Roman" w:hAnsi="Times New Roman" w:eastAsia="仿宋_GB2312" w:cs="Times New Roman"/>
          <w:sz w:val="32"/>
          <w:szCs w:val="32"/>
        </w:rPr>
        <w:t>、中</w:t>
      </w:r>
      <w:r>
        <w:rPr>
          <w:rFonts w:ascii="Times New Roman" w:hAnsi="Times New Roman" w:eastAsia="仿宋_GB2312" w:cs="Times New Roman"/>
          <w:sz w:val="32"/>
          <w:szCs w:val="32"/>
        </w:rPr>
        <w:t>学生体育协会</w:t>
      </w:r>
      <w:r>
        <w:rPr>
          <w:rFonts w:hint="eastAsia" w:ascii="Times New Roman" w:hAnsi="Times New Roman" w:eastAsia="仿宋_GB2312" w:cs="Times New Roman"/>
          <w:sz w:val="32"/>
          <w:szCs w:val="32"/>
        </w:rPr>
        <w:t>会员</w:t>
      </w:r>
      <w:r>
        <w:rPr>
          <w:rFonts w:ascii="Times New Roman" w:hAnsi="Times New Roman" w:eastAsia="仿宋_GB2312" w:cs="Times New Roman"/>
          <w:sz w:val="32"/>
          <w:szCs w:val="32"/>
        </w:rPr>
        <w:t>，请先注册成为协会会员单位</w:t>
      </w:r>
      <w:r>
        <w:rPr>
          <w:rFonts w:hint="eastAsia" w:ascii="Times New Roman" w:hAnsi="Times New Roman" w:eastAsia="仿宋_GB2312" w:cs="Times New Roman"/>
          <w:sz w:val="32"/>
          <w:szCs w:val="32"/>
        </w:rPr>
        <w:t>并</w:t>
      </w:r>
      <w:r>
        <w:rPr>
          <w:rFonts w:ascii="Times New Roman" w:hAnsi="Times New Roman" w:eastAsia="仿宋_GB2312" w:cs="Times New Roman"/>
          <w:sz w:val="32"/>
          <w:szCs w:val="32"/>
        </w:rPr>
        <w:t>明确学校系统管理员。</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为简化注册、审核流程，系统实行学校系统管理员负责制，学校系统管理员负责该学校参加中国大、中学生体育协会各项赛事和活动相关人员的注册和资格审查工作，保证所注册人员数据信息准确、真实、有效，参赛资格符合中国大、中学生体育协会各项赛事竞赛规程的要求。中国大、中学生体育协会将不再对注册信息统一审核。</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所有注册信息一经提交即视为真实有效数据，中国大、中学生体育协会将联合教育部学生司、基础司、学信网等部门对注册信息进行抽查，若学校系统管理员在注册、报名工作中弄虚作假，中国大、中学生体育协会保留追究该学校相关责任的权利。</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注册时学校系统管理员需按要求填写教练员、运动员相关信息、上传第二代身份证件（电子版正反面）、近期免冠一寸照片等材料。</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学校系统管理员登录后请在“概览” </w:t>
      </w:r>
      <w:r>
        <w:rPr>
          <w:rFonts w:ascii="Times New Roman" w:hAnsi="Times New Roman" w:eastAsia="仿宋_GB2312" w:cs="Times New Roman"/>
          <w:sz w:val="32"/>
          <w:szCs w:val="32"/>
        </w:rPr>
        <w:sym w:font="Wingdings" w:char="F0E0"/>
      </w:r>
      <w:r>
        <w:rPr>
          <w:rFonts w:ascii="Times New Roman" w:hAnsi="Times New Roman" w:eastAsia="仿宋_GB2312" w:cs="Times New Roman"/>
          <w:sz w:val="32"/>
          <w:szCs w:val="32"/>
        </w:rPr>
        <w:t xml:space="preserve"> “管理说明”中仔细阅读《中国学生体育信息服务系统使用说明》相关内容。</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系统操作推荐使用谷歌浏览器最新版本、360浏览器</w:t>
      </w:r>
      <w:r>
        <w:rPr>
          <w:rFonts w:hint="eastAsia" w:ascii="Times New Roman" w:hAnsi="Times New Roman" w:eastAsia="仿宋_GB2312" w:cs="Times New Roman"/>
          <w:sz w:val="32"/>
          <w:szCs w:val="32"/>
        </w:rPr>
        <w:t>最</w:t>
      </w:r>
      <w:r>
        <w:rPr>
          <w:rFonts w:ascii="Times New Roman" w:hAnsi="Times New Roman" w:eastAsia="仿宋_GB2312" w:cs="Times New Roman"/>
          <w:sz w:val="32"/>
          <w:szCs w:val="32"/>
        </w:rPr>
        <w:t>新版本（选择极速模式）或IE11浏览器。</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640" w:firstLineChars="200"/>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参赛运动员在赛前必须完成注册工作，到达赛区后不予注册；没有注册的运动员严禁参赛</w:t>
      </w:r>
      <w:r>
        <w:rPr>
          <w:rFonts w:hint="eastAsia" w:ascii="Times New Roman" w:hAnsi="Times New Roman" w:eastAsia="仿宋_GB2312" w:cs="Times New Roman"/>
          <w:sz w:val="32"/>
          <w:szCs w:val="32"/>
        </w:rPr>
        <w:t>。</w:t>
      </w:r>
    </w:p>
    <w:p>
      <w:pPr>
        <w:keepNext w:val="0"/>
        <w:keepLines w:val="0"/>
        <w:pageBreakBefore w:val="0"/>
        <w:widowControl w:val="0"/>
        <w:numPr>
          <w:ilvl w:val="0"/>
          <w:numId w:val="10"/>
        </w:numPr>
        <w:kinsoku/>
        <w:wordWrap/>
        <w:overflowPunct/>
        <w:topLinePunct w:val="0"/>
        <w:autoSpaceDE/>
        <w:autoSpaceDN/>
        <w:bidi w:val="0"/>
        <w:adjustRightInd/>
        <w:snapToGrid/>
        <w:ind w:left="0" w:leftChars="0" w:firstLine="640" w:firstLineChars="200"/>
        <w:jc w:val="both"/>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注册问题</w:t>
      </w:r>
      <w:r>
        <w:rPr>
          <w:rFonts w:ascii="Times New Roman" w:hAnsi="Times New Roman" w:eastAsia="仿宋_GB2312" w:cs="Times New Roman"/>
          <w:sz w:val="32"/>
          <w:szCs w:val="32"/>
        </w:rPr>
        <w:t>咨询电话：孙变丽，李阳；联系电话010-66093753/66093749。</w:t>
      </w:r>
    </w:p>
    <w:p>
      <w:pPr>
        <w:numPr>
          <w:ilvl w:val="0"/>
          <w:numId w:val="8"/>
        </w:num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报到</w:t>
      </w:r>
    </w:p>
    <w:p>
      <w:pPr>
        <w:numPr>
          <w:ilvl w:val="0"/>
          <w:numId w:val="11"/>
        </w:numPr>
        <w:ind w:left="0" w:leftChars="0"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各项目运动队在本项目比赛开始前2天报到，比赛结束后1天离会。</w:t>
      </w:r>
    </w:p>
    <w:p>
      <w:pPr>
        <w:numPr>
          <w:ilvl w:val="0"/>
          <w:numId w:val="11"/>
        </w:numPr>
        <w:ind w:left="0" w:leftChars="0"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运动员报到时，须交验本人第二代居民身份证原件、</w:t>
      </w:r>
      <w:r>
        <w:rPr>
          <w:rFonts w:hint="eastAsia" w:ascii="仿宋_GB2312" w:hAnsi="仿宋_GB2312" w:eastAsia="仿宋_GB2312" w:cs="仿宋_GB2312"/>
          <w:bCs/>
          <w:color w:val="000000"/>
          <w:sz w:val="32"/>
          <w:szCs w:val="32"/>
          <w:lang w:val="en-US" w:eastAsia="zh-CN"/>
        </w:rPr>
        <w:t>报名表原件、</w:t>
      </w:r>
      <w:r>
        <w:rPr>
          <w:rFonts w:hint="eastAsia" w:ascii="仿宋_GB2312" w:hAnsi="仿宋_GB2312" w:eastAsia="仿宋_GB2312" w:cs="仿宋_GB2312"/>
          <w:bCs/>
          <w:color w:val="000000"/>
          <w:sz w:val="32"/>
          <w:szCs w:val="32"/>
        </w:rPr>
        <w:t>教育部学籍在线验证报告（大学）、省级以上电子学籍打印证明（中学）、保险单据、健康证明、自愿参赛责任及风险告知书</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lang w:val="en-US" w:eastAsia="zh-CN"/>
        </w:rPr>
        <w:t>附件2</w:t>
      </w:r>
      <w:r>
        <w:rPr>
          <w:rFonts w:hint="eastAsia" w:ascii="仿宋_GB2312" w:hAnsi="仿宋_GB2312" w:eastAsia="仿宋_GB2312" w:cs="仿宋_GB2312"/>
          <w:bCs/>
          <w:color w:val="000000"/>
          <w:sz w:val="32"/>
          <w:szCs w:val="32"/>
          <w:lang w:eastAsia="zh-CN"/>
        </w:rPr>
        <w:t>）</w:t>
      </w:r>
      <w:r>
        <w:rPr>
          <w:rFonts w:hint="eastAsia" w:ascii="仿宋_GB2312" w:hAnsi="仿宋_GB2312" w:eastAsia="仿宋_GB2312" w:cs="仿宋_GB2312"/>
          <w:bCs/>
          <w:color w:val="000000"/>
          <w:sz w:val="32"/>
          <w:szCs w:val="32"/>
        </w:rPr>
        <w:t>，否则不允许参加比赛。</w:t>
      </w:r>
    </w:p>
    <w:p>
      <w:pPr>
        <w:numPr>
          <w:ilvl w:val="0"/>
          <w:numId w:val="11"/>
        </w:numPr>
        <w:ind w:left="0" w:leftChars="0"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lang w:val="en-US" w:eastAsia="zh-CN"/>
        </w:rPr>
        <w:t>报到地点：另行通知</w:t>
      </w:r>
    </w:p>
    <w:p>
      <w:pPr>
        <w:numPr>
          <w:ilvl w:val="0"/>
          <w:numId w:val="1"/>
        </w:numPr>
        <w:adjustRightInd w:val="0"/>
        <w:ind w:firstLine="640" w:firstLineChars="200"/>
        <w:outlineLvl w:val="0"/>
        <w:rPr>
          <w:rFonts w:ascii="黑体" w:hAnsi="黑体" w:eastAsia="黑体" w:cs="黑体"/>
          <w:bCs/>
          <w:sz w:val="32"/>
          <w:szCs w:val="32"/>
        </w:rPr>
      </w:pPr>
      <w:r>
        <w:rPr>
          <w:rFonts w:hint="eastAsia" w:ascii="黑体" w:hAnsi="黑体" w:eastAsia="黑体" w:cs="黑体"/>
          <w:bCs/>
          <w:sz w:val="32"/>
          <w:szCs w:val="32"/>
        </w:rPr>
        <w:t>技术官员</w:t>
      </w:r>
    </w:p>
    <w:p>
      <w:pPr>
        <w:numPr>
          <w:ilvl w:val="0"/>
          <w:numId w:val="12"/>
        </w:numPr>
        <w:ind w:left="0" w:leftChars="0"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技术官员(含技术代表、仲裁、比赛监督和裁判员等)由执行单位经商承办单位后，共同提出建议名单，报主办单位统一审定。</w:t>
      </w:r>
    </w:p>
    <w:p>
      <w:pPr>
        <w:numPr>
          <w:ilvl w:val="0"/>
          <w:numId w:val="12"/>
        </w:numPr>
        <w:ind w:left="0" w:leftChars="0"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sz w:val="32"/>
          <w:szCs w:val="32"/>
        </w:rPr>
        <w:t>其他裁判员（辅助裁判员）由承办单位选派。</w:t>
      </w:r>
    </w:p>
    <w:p>
      <w:pPr>
        <w:numPr>
          <w:ilvl w:val="0"/>
          <w:numId w:val="12"/>
        </w:numPr>
        <w:ind w:left="0" w:leftChars="0" w:firstLine="640" w:firstLineChars="200"/>
        <w:rPr>
          <w:rFonts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各项目技术官员于比赛开始前3天报到,比赛结束后1天离会。</w:t>
      </w:r>
    </w:p>
    <w:p>
      <w:pPr>
        <w:numPr>
          <w:ilvl w:val="0"/>
          <w:numId w:val="1"/>
        </w:numPr>
        <w:adjustRightInd w:val="0"/>
        <w:ind w:firstLine="640" w:firstLineChars="200"/>
        <w:outlineLvl w:val="0"/>
        <w:rPr>
          <w:rFonts w:ascii="黑体" w:hAnsi="黑体" w:eastAsia="黑体" w:cs="黑体"/>
          <w:bCs/>
          <w:sz w:val="32"/>
          <w:szCs w:val="32"/>
        </w:rPr>
      </w:pPr>
      <w:r>
        <w:rPr>
          <w:rFonts w:hint="eastAsia" w:ascii="黑体" w:hAnsi="黑体" w:eastAsia="黑体" w:cs="黑体"/>
          <w:bCs/>
          <w:sz w:val="32"/>
          <w:szCs w:val="32"/>
        </w:rPr>
        <w:t>赛风赛纪</w:t>
      </w:r>
    </w:p>
    <w:p>
      <w:pPr>
        <w:keepNext w:val="0"/>
        <w:keepLines w:val="0"/>
        <w:pageBreakBefore w:val="0"/>
        <w:widowControl w:val="0"/>
        <w:numPr>
          <w:ilvl w:val="0"/>
          <w:numId w:val="13"/>
        </w:numPr>
        <w:kinsoku/>
        <w:wordWrap/>
        <w:overflowPunct/>
        <w:topLinePunct w:val="0"/>
        <w:autoSpaceDE/>
        <w:autoSpaceDN/>
        <w:bidi w:val="0"/>
        <w:adjustRightInd/>
        <w:snapToGrid/>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成立专门资格和纪律监督委员会。</w:t>
      </w:r>
      <w:r>
        <w:rPr>
          <w:rFonts w:hint="eastAsia" w:ascii="仿宋_GB2312" w:hAnsi="仿宋_GB2312" w:eastAsia="仿宋_GB2312" w:cs="仿宋_GB2312"/>
          <w:color w:val="000000"/>
          <w:sz w:val="32"/>
          <w:szCs w:val="32"/>
        </w:rPr>
        <w:t>为严肃赛风赛纪，运动会组委会将设立由教育部体卫艺司、高校学生司、基础教育司及中国大、中学生体育协会等部门联合组成的中华人民共和国第十四届学生运动会资格和纪律监督委员会，负责对参赛运动队（员）、技术官员和有关工作人员资格及赛风赛纪监督工作，并将建立信访举报及申诉处理机制。</w:t>
      </w:r>
    </w:p>
    <w:p>
      <w:pPr>
        <w:keepNext w:val="0"/>
        <w:keepLines w:val="0"/>
        <w:pageBreakBefore w:val="0"/>
        <w:widowControl w:val="0"/>
        <w:numPr>
          <w:ilvl w:val="0"/>
          <w:numId w:val="13"/>
        </w:numPr>
        <w:kinsoku/>
        <w:wordWrap/>
        <w:overflowPunct/>
        <w:topLinePunct w:val="0"/>
        <w:autoSpaceDE/>
        <w:autoSpaceDN/>
        <w:bidi w:val="0"/>
        <w:adjustRightInd/>
        <w:snapToGrid/>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严格处罚和加强责任追究。</w:t>
      </w:r>
      <w:r>
        <w:rPr>
          <w:rFonts w:hint="eastAsia" w:ascii="仿宋_GB2312" w:hAnsi="仿宋_GB2312" w:eastAsia="仿宋_GB2312" w:cs="仿宋_GB2312"/>
          <w:color w:val="000000"/>
          <w:sz w:val="32"/>
          <w:szCs w:val="32"/>
        </w:rPr>
        <w:t>对违反运动员资格及赛风赛纪的运动队（员）、技术官员及其所在单位的处罚，严格按照《全国学生体育竞赛纪律处罚规定》和赛会相关规定执行，并对相关责任人及其所在单位进行责任追究。</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outlineLvl w:val="0"/>
        <w:rPr>
          <w:rFonts w:ascii="黑体" w:hAnsi="黑体" w:eastAsia="黑体" w:cs="黑体"/>
          <w:bCs/>
          <w:sz w:val="32"/>
          <w:szCs w:val="32"/>
        </w:rPr>
      </w:pPr>
      <w:r>
        <w:rPr>
          <w:rFonts w:hint="eastAsia" w:ascii="黑体" w:hAnsi="黑体" w:eastAsia="黑体" w:cs="黑体"/>
          <w:bCs/>
          <w:sz w:val="32"/>
          <w:szCs w:val="32"/>
        </w:rPr>
        <w:t>经费</w:t>
      </w:r>
    </w:p>
    <w:p>
      <w:pPr>
        <w:keepNext w:val="0"/>
        <w:keepLines w:val="0"/>
        <w:pageBreakBefore w:val="0"/>
        <w:widowControl w:val="0"/>
        <w:numPr>
          <w:ilvl w:val="0"/>
          <w:numId w:val="14"/>
        </w:numPr>
        <w:kinsoku/>
        <w:wordWrap/>
        <w:overflowPunct/>
        <w:topLinePunct w:val="0"/>
        <w:autoSpaceDE/>
        <w:autoSpaceDN/>
        <w:bidi w:val="0"/>
        <w:adjustRightInd/>
        <w:snapToGrid/>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各参赛队每人每天向赛会交纳食宿费人民币100元。</w:t>
      </w:r>
      <w:r>
        <w:rPr>
          <w:rStyle w:val="12"/>
          <w:rFonts w:hint="eastAsia" w:ascii="仿宋_GB2312" w:hAnsi="仿宋_GB2312" w:eastAsia="仿宋_GB2312"/>
          <w:sz w:val="32"/>
          <w:szCs w:val="32"/>
        </w:rPr>
        <w:t>住组委会统一安排地点</w:t>
      </w:r>
      <w:r>
        <w:rPr>
          <w:rStyle w:val="12"/>
          <w:rFonts w:ascii="仿宋_GB2312" w:hAnsi="仿宋_GB2312" w:eastAsia="仿宋_GB2312"/>
          <w:sz w:val="32"/>
          <w:szCs w:val="32"/>
        </w:rPr>
        <w:t>，所有参赛队严格按照规程规定的日期报到和离会，</w:t>
      </w:r>
      <w:r>
        <w:rPr>
          <w:rStyle w:val="12"/>
          <w:rFonts w:hint="eastAsia" w:ascii="仿宋_GB2312" w:hAnsi="仿宋_GB2312" w:eastAsia="仿宋_GB2312"/>
          <w:sz w:val="32"/>
          <w:szCs w:val="32"/>
        </w:rPr>
        <w:t>并按要求参加领队教练员联席会、开、闭幕式。无故缺席将取消参赛资格或比赛成绩。</w:t>
      </w:r>
      <w:r>
        <w:rPr>
          <w:rStyle w:val="12"/>
          <w:rFonts w:ascii="仿宋_GB2312" w:hAnsi="仿宋_GB2312" w:eastAsia="仿宋_GB2312"/>
          <w:sz w:val="32"/>
          <w:szCs w:val="32"/>
        </w:rPr>
        <w:t>中途离会或逾期报到者，大会不予办理退款。编外人员恕不接待。</w:t>
      </w:r>
    </w:p>
    <w:p>
      <w:pPr>
        <w:keepNext w:val="0"/>
        <w:keepLines w:val="0"/>
        <w:pageBreakBefore w:val="0"/>
        <w:widowControl w:val="0"/>
        <w:numPr>
          <w:ilvl w:val="0"/>
          <w:numId w:val="14"/>
        </w:numPr>
        <w:kinsoku/>
        <w:wordWrap/>
        <w:overflowPunct/>
        <w:topLinePunct w:val="0"/>
        <w:autoSpaceDE/>
        <w:autoSpaceDN/>
        <w:bidi w:val="0"/>
        <w:adjustRightInd/>
        <w:snapToGrid/>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各代表团往返交通费自理，食宿由赛会提供。</w:t>
      </w:r>
    </w:p>
    <w:p>
      <w:pPr>
        <w:keepNext w:val="0"/>
        <w:keepLines w:val="0"/>
        <w:pageBreakBefore w:val="0"/>
        <w:widowControl w:val="0"/>
        <w:numPr>
          <w:ilvl w:val="0"/>
          <w:numId w:val="14"/>
        </w:numPr>
        <w:kinsoku/>
        <w:wordWrap/>
        <w:overflowPunct/>
        <w:topLinePunct w:val="0"/>
        <w:autoSpaceDE/>
        <w:autoSpaceDN/>
        <w:bidi w:val="0"/>
        <w:adjustRightInd/>
        <w:snapToGrid/>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主办单位所选派的仲裁委员会主任、委员，裁判长（员）及赛会工作人员的差旅费，均由赛会负担。</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outlineLvl w:val="0"/>
        <w:rPr>
          <w:rFonts w:ascii="黑体" w:hAnsi="黑体" w:eastAsia="黑体" w:cs="黑体"/>
          <w:bCs/>
          <w:sz w:val="32"/>
          <w:szCs w:val="32"/>
        </w:rPr>
      </w:pPr>
      <w:r>
        <w:rPr>
          <w:rFonts w:hint="eastAsia" w:ascii="黑体" w:hAnsi="黑体" w:eastAsia="黑体" w:cs="黑体"/>
          <w:bCs/>
          <w:sz w:val="32"/>
          <w:szCs w:val="32"/>
        </w:rPr>
        <w:t>其它规定</w:t>
      </w:r>
    </w:p>
    <w:p>
      <w:pPr>
        <w:keepNext w:val="0"/>
        <w:keepLines w:val="0"/>
        <w:pageBreakBefore w:val="0"/>
        <w:widowControl w:val="0"/>
        <w:numPr>
          <w:ilvl w:val="0"/>
          <w:numId w:val="15"/>
        </w:numPr>
        <w:kinsoku/>
        <w:wordWrap/>
        <w:overflowPunct/>
        <w:topLinePunct w:val="0"/>
        <w:autoSpaceDE/>
        <w:autoSpaceDN/>
        <w:bidi w:val="0"/>
        <w:adjustRightInd/>
        <w:snapToGrid/>
        <w:ind w:left="0" w:leftChars="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关于办理保险规定</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参赛运动员、教练员须由各代表团统一办理和购买人身意外伤害保险（含往返赛区途中及比赛期间）。</w:t>
      </w:r>
    </w:p>
    <w:p>
      <w:pPr>
        <w:keepNext w:val="0"/>
        <w:keepLines w:val="0"/>
        <w:pageBreakBefore w:val="0"/>
        <w:widowControl w:val="0"/>
        <w:numPr>
          <w:ilvl w:val="0"/>
          <w:numId w:val="15"/>
        </w:numPr>
        <w:kinsoku/>
        <w:wordWrap/>
        <w:overflowPunct/>
        <w:topLinePunct w:val="0"/>
        <w:autoSpaceDE/>
        <w:autoSpaceDN/>
        <w:bidi w:val="0"/>
        <w:adjustRightInd/>
        <w:snapToGrid/>
        <w:ind w:left="0" w:leftChars="0"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关于交纳抵押保证金规定</w:t>
      </w:r>
    </w:p>
    <w:p>
      <w:pPr>
        <w:keepNext w:val="0"/>
        <w:keepLines w:val="0"/>
        <w:pageBreakBefore w:val="0"/>
        <w:widowControl w:val="0"/>
        <w:numPr>
          <w:ilvl w:val="0"/>
          <w:numId w:val="16"/>
        </w:numPr>
        <w:kinsoku/>
        <w:wordWrap/>
        <w:overflowPunct/>
        <w:topLinePunct w:val="0"/>
        <w:autoSpaceDE/>
        <w:autoSpaceDN/>
        <w:bidi w:val="0"/>
        <w:adjustRightInd/>
        <w:snapToGrid/>
        <w:ind w:left="0" w:leftChars="0" w:firstLine="640" w:firstLineChars="200"/>
        <w:textAlignment w:val="baseline"/>
        <w:rPr>
          <w:rStyle w:val="12"/>
          <w:rFonts w:hint="eastAsia" w:ascii="仿宋_GB2312" w:hAnsi="仿宋_GB2312" w:eastAsia="仿宋_GB2312" w:cs="仿宋_GB2312"/>
          <w:sz w:val="32"/>
          <w:szCs w:val="32"/>
        </w:rPr>
      </w:pPr>
      <w:r>
        <w:rPr>
          <w:rStyle w:val="12"/>
          <w:rFonts w:hint="eastAsia" w:ascii="仿宋_GB2312" w:hAnsi="仿宋_GB2312" w:eastAsia="仿宋_GB2312" w:cs="仿宋_GB2312"/>
          <w:sz w:val="32"/>
          <w:szCs w:val="32"/>
        </w:rPr>
        <w:t>每个参赛单位到会时须交纳比赛保证金2000元。除在比赛期间违反运动员参赛资格规定及在大会期间违反大会各项纪律等的不良行为外，保证金将如数退还。否则不予退还，且2年内不得参加此项赛事。</w:t>
      </w:r>
    </w:p>
    <w:p>
      <w:pPr>
        <w:keepNext w:val="0"/>
        <w:keepLines w:val="0"/>
        <w:pageBreakBefore w:val="0"/>
        <w:widowControl w:val="0"/>
        <w:numPr>
          <w:ilvl w:val="0"/>
          <w:numId w:val="16"/>
        </w:numPr>
        <w:kinsoku/>
        <w:wordWrap/>
        <w:overflowPunct/>
        <w:topLinePunct w:val="0"/>
        <w:autoSpaceDE/>
        <w:autoSpaceDN/>
        <w:bidi w:val="0"/>
        <w:snapToGrid/>
        <w:ind w:left="0" w:leftChars="0" w:firstLine="640" w:firstLineChars="200"/>
        <w:textAlignment w:val="baseline"/>
        <w:rPr>
          <w:rFonts w:hint="eastAsia" w:ascii="仿宋_GB2312" w:hAnsi="仿宋_GB2312" w:eastAsia="仿宋_GB2312" w:cs="仿宋_GB2312"/>
          <w:color w:val="000000"/>
          <w:sz w:val="32"/>
          <w:szCs w:val="32"/>
        </w:rPr>
      </w:pPr>
      <w:r>
        <w:rPr>
          <w:rStyle w:val="12"/>
          <w:rFonts w:hint="eastAsia" w:ascii="仿宋_GB2312" w:hAnsi="仿宋_GB2312" w:eastAsia="仿宋_GB2312" w:cs="仿宋_GB2312"/>
          <w:sz w:val="32"/>
          <w:szCs w:val="32"/>
        </w:rPr>
        <w:t>各参赛单位有权对有异议的运动员资格问题提出申诉，申诉时可向资格审查委员会提交由领队签名的书面申诉书，同时缴纳申诉费500元。胜诉退还申诉费；若败诉，则申诉费不再退还。</w:t>
      </w:r>
    </w:p>
    <w:p>
      <w:pPr>
        <w:numPr>
          <w:ilvl w:val="0"/>
          <w:numId w:val="1"/>
        </w:numPr>
        <w:adjustRightInd w:val="0"/>
        <w:ind w:firstLine="640" w:firstLineChars="200"/>
        <w:outlineLvl w:val="0"/>
        <w:rPr>
          <w:rFonts w:ascii="黑体" w:hAnsi="黑体" w:eastAsia="黑体"/>
          <w:sz w:val="32"/>
          <w:szCs w:val="32"/>
        </w:rPr>
      </w:pPr>
      <w:r>
        <w:rPr>
          <w:rFonts w:hint="eastAsia" w:ascii="黑体" w:hAnsi="黑体" w:eastAsia="黑体" w:cs="黑体"/>
          <w:bCs/>
          <w:sz w:val="32"/>
          <w:szCs w:val="32"/>
        </w:rPr>
        <w:t>本规程未尽事宜，另行通知。最终解释权属中国大、中学生体育协会。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CF5AB4"/>
    <w:multiLevelType w:val="singleLevel"/>
    <w:tmpl w:val="80CF5AB4"/>
    <w:lvl w:ilvl="0" w:tentative="0">
      <w:start w:val="1"/>
      <w:numFmt w:val="decimal"/>
      <w:suff w:val="nothing"/>
      <w:lvlText w:val="%1．"/>
      <w:lvlJc w:val="left"/>
      <w:pPr>
        <w:ind w:left="0" w:firstLine="400"/>
        <w:textAlignment w:val="baseline"/>
      </w:pPr>
    </w:lvl>
  </w:abstractNum>
  <w:abstractNum w:abstractNumId="1">
    <w:nsid w:val="8E4102B3"/>
    <w:multiLevelType w:val="singleLevel"/>
    <w:tmpl w:val="8E4102B3"/>
    <w:lvl w:ilvl="0" w:tentative="0">
      <w:start w:val="1"/>
      <w:numFmt w:val="decimal"/>
      <w:suff w:val="nothing"/>
      <w:lvlText w:val="%1．"/>
      <w:lvlJc w:val="left"/>
      <w:pPr>
        <w:ind w:left="0" w:firstLine="400"/>
      </w:pPr>
      <w:rPr>
        <w:rFonts w:hint="default"/>
      </w:rPr>
    </w:lvl>
  </w:abstractNum>
  <w:abstractNum w:abstractNumId="2">
    <w:nsid w:val="9525A657"/>
    <w:multiLevelType w:val="singleLevel"/>
    <w:tmpl w:val="9525A657"/>
    <w:lvl w:ilvl="0" w:tentative="0">
      <w:start w:val="1"/>
      <w:numFmt w:val="chineseCounting"/>
      <w:suff w:val="nothing"/>
      <w:lvlText w:val="（%1）"/>
      <w:lvlJc w:val="left"/>
      <w:pPr>
        <w:ind w:left="0" w:firstLine="420"/>
      </w:pPr>
      <w:rPr>
        <w:rFonts w:hint="eastAsia"/>
      </w:rPr>
    </w:lvl>
  </w:abstractNum>
  <w:abstractNum w:abstractNumId="3">
    <w:nsid w:val="9D775AD9"/>
    <w:multiLevelType w:val="singleLevel"/>
    <w:tmpl w:val="9D775AD9"/>
    <w:lvl w:ilvl="0" w:tentative="0">
      <w:start w:val="1"/>
      <w:numFmt w:val="decimal"/>
      <w:suff w:val="nothing"/>
      <w:lvlText w:val="%1．"/>
      <w:lvlJc w:val="left"/>
      <w:pPr>
        <w:ind w:left="0" w:firstLine="400"/>
      </w:pPr>
      <w:rPr>
        <w:rFonts w:hint="default"/>
      </w:rPr>
    </w:lvl>
  </w:abstractNum>
  <w:abstractNum w:abstractNumId="4">
    <w:nsid w:val="CC74FC63"/>
    <w:multiLevelType w:val="singleLevel"/>
    <w:tmpl w:val="CC74FC63"/>
    <w:lvl w:ilvl="0" w:tentative="0">
      <w:start w:val="1"/>
      <w:numFmt w:val="decimal"/>
      <w:suff w:val="nothing"/>
      <w:lvlText w:val="%1．"/>
      <w:lvlJc w:val="left"/>
      <w:pPr>
        <w:ind w:left="0" w:firstLine="400"/>
      </w:pPr>
      <w:rPr>
        <w:rFonts w:hint="default"/>
      </w:rPr>
    </w:lvl>
  </w:abstractNum>
  <w:abstractNum w:abstractNumId="5">
    <w:nsid w:val="D169A7A1"/>
    <w:multiLevelType w:val="singleLevel"/>
    <w:tmpl w:val="D169A7A1"/>
    <w:lvl w:ilvl="0" w:tentative="0">
      <w:start w:val="1"/>
      <w:numFmt w:val="decimal"/>
      <w:suff w:val="nothing"/>
      <w:lvlText w:val="%1．"/>
      <w:lvlJc w:val="left"/>
      <w:pPr>
        <w:ind w:left="0" w:firstLine="400"/>
      </w:pPr>
      <w:rPr>
        <w:rFonts w:hint="default"/>
      </w:rPr>
    </w:lvl>
  </w:abstractNum>
  <w:abstractNum w:abstractNumId="6">
    <w:nsid w:val="DE50B461"/>
    <w:multiLevelType w:val="singleLevel"/>
    <w:tmpl w:val="DE50B461"/>
    <w:lvl w:ilvl="0" w:tentative="0">
      <w:start w:val="1"/>
      <w:numFmt w:val="decimal"/>
      <w:suff w:val="nothing"/>
      <w:lvlText w:val="%1．"/>
      <w:lvlJc w:val="left"/>
      <w:pPr>
        <w:ind w:left="0" w:firstLine="400"/>
      </w:pPr>
      <w:rPr>
        <w:rFonts w:hint="default"/>
      </w:rPr>
    </w:lvl>
  </w:abstractNum>
  <w:abstractNum w:abstractNumId="7">
    <w:nsid w:val="F2D21B2E"/>
    <w:multiLevelType w:val="singleLevel"/>
    <w:tmpl w:val="F2D21B2E"/>
    <w:lvl w:ilvl="0" w:tentative="0">
      <w:start w:val="1"/>
      <w:numFmt w:val="decimal"/>
      <w:lvlText w:val="(%1)"/>
      <w:lvlJc w:val="left"/>
      <w:pPr>
        <w:ind w:left="425" w:hanging="425"/>
      </w:pPr>
      <w:rPr>
        <w:rFonts w:hint="default"/>
      </w:rPr>
    </w:lvl>
  </w:abstractNum>
  <w:abstractNum w:abstractNumId="8">
    <w:nsid w:val="0A9B0CCF"/>
    <w:multiLevelType w:val="singleLevel"/>
    <w:tmpl w:val="0A9B0CCF"/>
    <w:lvl w:ilvl="0" w:tentative="0">
      <w:start w:val="1"/>
      <w:numFmt w:val="decimal"/>
      <w:suff w:val="nothing"/>
      <w:lvlText w:val="%1．"/>
      <w:lvlJc w:val="left"/>
      <w:pPr>
        <w:ind w:left="0" w:firstLine="400"/>
      </w:pPr>
      <w:rPr>
        <w:rFonts w:hint="default"/>
      </w:rPr>
    </w:lvl>
  </w:abstractNum>
  <w:abstractNum w:abstractNumId="9">
    <w:nsid w:val="0C90F233"/>
    <w:multiLevelType w:val="singleLevel"/>
    <w:tmpl w:val="0C90F233"/>
    <w:lvl w:ilvl="0" w:tentative="0">
      <w:start w:val="1"/>
      <w:numFmt w:val="chineseCounting"/>
      <w:suff w:val="nothing"/>
      <w:lvlText w:val="%1、"/>
      <w:lvlJc w:val="left"/>
      <w:pPr>
        <w:ind w:left="0" w:firstLine="420"/>
      </w:pPr>
      <w:rPr>
        <w:rFonts w:hint="eastAsia"/>
      </w:rPr>
    </w:lvl>
  </w:abstractNum>
  <w:abstractNum w:abstractNumId="10">
    <w:nsid w:val="0D4B9DD2"/>
    <w:multiLevelType w:val="singleLevel"/>
    <w:tmpl w:val="0D4B9DD2"/>
    <w:lvl w:ilvl="0" w:tentative="0">
      <w:start w:val="1"/>
      <w:numFmt w:val="chineseCounting"/>
      <w:suff w:val="nothing"/>
      <w:lvlText w:val="（%1）"/>
      <w:lvlJc w:val="left"/>
      <w:pPr>
        <w:ind w:left="0" w:firstLine="420"/>
      </w:pPr>
      <w:rPr>
        <w:rFonts w:hint="eastAsia"/>
      </w:rPr>
    </w:lvl>
  </w:abstractNum>
  <w:abstractNum w:abstractNumId="11">
    <w:nsid w:val="0E89A057"/>
    <w:multiLevelType w:val="singleLevel"/>
    <w:tmpl w:val="0E89A057"/>
    <w:lvl w:ilvl="0" w:tentative="0">
      <w:start w:val="1"/>
      <w:numFmt w:val="decimal"/>
      <w:suff w:val="nothing"/>
      <w:lvlText w:val="%1．"/>
      <w:lvlJc w:val="left"/>
      <w:pPr>
        <w:ind w:left="0" w:firstLine="400"/>
      </w:pPr>
      <w:rPr>
        <w:rFonts w:hint="default"/>
      </w:rPr>
    </w:lvl>
  </w:abstractNum>
  <w:abstractNum w:abstractNumId="12">
    <w:nsid w:val="16186E02"/>
    <w:multiLevelType w:val="singleLevel"/>
    <w:tmpl w:val="16186E02"/>
    <w:lvl w:ilvl="0" w:tentative="0">
      <w:start w:val="1"/>
      <w:numFmt w:val="chineseCounting"/>
      <w:suff w:val="nothing"/>
      <w:lvlText w:val="（%1）"/>
      <w:lvlJc w:val="left"/>
      <w:pPr>
        <w:ind w:left="0" w:firstLine="420"/>
      </w:pPr>
      <w:rPr>
        <w:rFonts w:hint="eastAsia"/>
      </w:rPr>
    </w:lvl>
  </w:abstractNum>
  <w:abstractNum w:abstractNumId="13">
    <w:nsid w:val="17D7C9EA"/>
    <w:multiLevelType w:val="singleLevel"/>
    <w:tmpl w:val="17D7C9EA"/>
    <w:lvl w:ilvl="0" w:tentative="0">
      <w:start w:val="1"/>
      <w:numFmt w:val="decimal"/>
      <w:suff w:val="nothing"/>
      <w:lvlText w:val="%1．"/>
      <w:lvlJc w:val="left"/>
      <w:pPr>
        <w:ind w:left="0" w:firstLine="400"/>
      </w:pPr>
      <w:rPr>
        <w:rFonts w:hint="default"/>
      </w:rPr>
    </w:lvl>
  </w:abstractNum>
  <w:abstractNum w:abstractNumId="14">
    <w:nsid w:val="55A6A784"/>
    <w:multiLevelType w:val="singleLevel"/>
    <w:tmpl w:val="55A6A784"/>
    <w:lvl w:ilvl="0" w:tentative="0">
      <w:start w:val="1"/>
      <w:numFmt w:val="decimal"/>
      <w:suff w:val="nothing"/>
      <w:lvlText w:val="%1．"/>
      <w:lvlJc w:val="left"/>
      <w:pPr>
        <w:ind w:left="0" w:firstLine="400"/>
      </w:pPr>
      <w:rPr>
        <w:rFonts w:hint="default"/>
      </w:rPr>
    </w:lvl>
  </w:abstractNum>
  <w:abstractNum w:abstractNumId="15">
    <w:nsid w:val="69B71104"/>
    <w:multiLevelType w:val="singleLevel"/>
    <w:tmpl w:val="69B71104"/>
    <w:lvl w:ilvl="0" w:tentative="0">
      <w:start w:val="1"/>
      <w:numFmt w:val="decimal"/>
      <w:suff w:val="nothing"/>
      <w:lvlText w:val="%1．"/>
      <w:lvlJc w:val="left"/>
      <w:pPr>
        <w:ind w:left="0" w:firstLine="400"/>
      </w:pPr>
      <w:rPr>
        <w:rFonts w:hint="default"/>
      </w:rPr>
    </w:lvl>
  </w:abstractNum>
  <w:num w:numId="1">
    <w:abstractNumId w:val="9"/>
  </w:num>
  <w:num w:numId="2">
    <w:abstractNumId w:val="8"/>
  </w:num>
  <w:num w:numId="3">
    <w:abstractNumId w:val="15"/>
  </w:num>
  <w:num w:numId="4">
    <w:abstractNumId w:val="13"/>
  </w:num>
  <w:num w:numId="5">
    <w:abstractNumId w:val="12"/>
  </w:num>
  <w:num w:numId="6">
    <w:abstractNumId w:val="1"/>
  </w:num>
  <w:num w:numId="7">
    <w:abstractNumId w:val="5"/>
  </w:num>
  <w:num w:numId="8">
    <w:abstractNumId w:val="10"/>
  </w:num>
  <w:num w:numId="9">
    <w:abstractNumId w:val="11"/>
  </w:num>
  <w:num w:numId="10">
    <w:abstractNumId w:val="7"/>
  </w:num>
  <w:num w:numId="11">
    <w:abstractNumId w:val="3"/>
  </w:num>
  <w:num w:numId="12">
    <w:abstractNumId w:val="14"/>
  </w:num>
  <w:num w:numId="13">
    <w:abstractNumId w:val="4"/>
  </w:num>
  <w:num w:numId="14">
    <w:abstractNumId w:val="0"/>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B6E"/>
    <w:rsid w:val="00006311"/>
    <w:rsid w:val="0001435D"/>
    <w:rsid w:val="00075854"/>
    <w:rsid w:val="000B21F2"/>
    <w:rsid w:val="000C1DD9"/>
    <w:rsid w:val="000C686D"/>
    <w:rsid w:val="00103A74"/>
    <w:rsid w:val="001A4F35"/>
    <w:rsid w:val="001D5751"/>
    <w:rsid w:val="001E0B89"/>
    <w:rsid w:val="00201572"/>
    <w:rsid w:val="003E5DEC"/>
    <w:rsid w:val="00417326"/>
    <w:rsid w:val="00430A67"/>
    <w:rsid w:val="00437A1B"/>
    <w:rsid w:val="0055613E"/>
    <w:rsid w:val="0059797E"/>
    <w:rsid w:val="005F4B49"/>
    <w:rsid w:val="00604A96"/>
    <w:rsid w:val="006B3C8D"/>
    <w:rsid w:val="00792357"/>
    <w:rsid w:val="007D3ADE"/>
    <w:rsid w:val="00813127"/>
    <w:rsid w:val="00857346"/>
    <w:rsid w:val="0089670C"/>
    <w:rsid w:val="0091660C"/>
    <w:rsid w:val="0092594D"/>
    <w:rsid w:val="009520B1"/>
    <w:rsid w:val="009766CC"/>
    <w:rsid w:val="009B5502"/>
    <w:rsid w:val="00B03926"/>
    <w:rsid w:val="00B06F6C"/>
    <w:rsid w:val="00BB0812"/>
    <w:rsid w:val="00BD3125"/>
    <w:rsid w:val="00CF1B60"/>
    <w:rsid w:val="00D31DBA"/>
    <w:rsid w:val="00D6598A"/>
    <w:rsid w:val="00DE3F9B"/>
    <w:rsid w:val="00E24B6E"/>
    <w:rsid w:val="00FC64D2"/>
    <w:rsid w:val="02877A29"/>
    <w:rsid w:val="14D9045D"/>
    <w:rsid w:val="178837D7"/>
    <w:rsid w:val="1EEB1892"/>
    <w:rsid w:val="3FD075B7"/>
    <w:rsid w:val="41EC5F21"/>
    <w:rsid w:val="451C3EA7"/>
    <w:rsid w:val="4927590B"/>
    <w:rsid w:val="60CD78ED"/>
    <w:rsid w:val="67CA51D9"/>
    <w:rsid w:val="6E76228D"/>
    <w:rsid w:val="78794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qFormat/>
    <w:uiPriority w:val="0"/>
    <w:rPr>
      <w:color w:val="0000FF"/>
      <w:u w:val="single"/>
    </w:rPr>
  </w:style>
  <w:style w:type="character" w:styleId="8">
    <w:name w:val="annotation reference"/>
    <w:basedOn w:val="6"/>
    <w:semiHidden/>
    <w:qFormat/>
    <w:uiPriority w:val="0"/>
    <w:rPr>
      <w:sz w:val="21"/>
      <w:szCs w:val="21"/>
    </w:rPr>
  </w:style>
  <w:style w:type="paragraph" w:customStyle="1" w:styleId="9">
    <w:name w:val="列出段落1"/>
    <w:basedOn w:val="1"/>
    <w:qFormat/>
    <w:uiPriority w:val="34"/>
    <w:pPr>
      <w:ind w:firstLine="420" w:firstLineChars="200"/>
    </w:pPr>
  </w:style>
  <w:style w:type="character" w:customStyle="1" w:styleId="10">
    <w:name w:val="页眉 字符"/>
    <w:basedOn w:val="6"/>
    <w:link w:val="4"/>
    <w:qFormat/>
    <w:uiPriority w:val="99"/>
    <w:rPr>
      <w:rFonts w:ascii="Times New Roman" w:hAnsi="Times New Roman" w:eastAsia="宋体" w:cs="Times New Roman"/>
      <w:sz w:val="18"/>
      <w:szCs w:val="18"/>
    </w:rPr>
  </w:style>
  <w:style w:type="character" w:customStyle="1" w:styleId="11">
    <w:name w:val="页脚 字符"/>
    <w:basedOn w:val="6"/>
    <w:link w:val="3"/>
    <w:qFormat/>
    <w:uiPriority w:val="99"/>
    <w:rPr>
      <w:rFonts w:ascii="Times New Roman" w:hAnsi="Times New Roman" w:eastAsia="宋体" w:cs="Times New Roman"/>
      <w:sz w:val="18"/>
      <w:szCs w:val="18"/>
    </w:r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419</Words>
  <Characters>2389</Characters>
  <Lines>19</Lines>
  <Paragraphs>5</Paragraphs>
  <TotalTime>50</TotalTime>
  <ScaleCrop>false</ScaleCrop>
  <LinksUpToDate>false</LinksUpToDate>
  <CharactersWithSpaces>2803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2016-08-09T14:10:00Z</dcterms:created>
  <dc:creator>USER</dc:creator>
  <cp:lastModifiedBy>yu</cp:lastModifiedBy>
  <cp:lastPrinted>2019-10-23T08:00:00Z</cp:lastPrinted>
  <dcterms:modified xsi:type="dcterms:W3CDTF">2019-10-24T08:28:51Z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